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57847">
      <w:pPr>
        <w:jc w:val="both"/>
        <w:rPr>
          <w:rFonts w:hint="eastAsia"/>
          <w:sz w:val="72"/>
          <w:szCs w:val="112"/>
        </w:rPr>
      </w:pPr>
    </w:p>
    <w:p w14:paraId="1CD1E028">
      <w:pPr>
        <w:jc w:val="center"/>
        <w:rPr>
          <w:rFonts w:hint="eastAsia"/>
          <w:sz w:val="72"/>
          <w:szCs w:val="72"/>
        </w:rPr>
      </w:pPr>
      <w:r>
        <w:rPr>
          <w:rFonts w:hint="eastAsia"/>
          <w:sz w:val="72"/>
          <w:szCs w:val="72"/>
        </w:rPr>
        <w:t>石家庄新铁职业高级中学</w:t>
      </w:r>
    </w:p>
    <w:p w14:paraId="3317CF4E">
      <w:pPr>
        <w:jc w:val="center"/>
        <w:rPr>
          <w:rFonts w:hint="eastAsia"/>
          <w:sz w:val="55"/>
          <w:szCs w:val="55"/>
        </w:rPr>
      </w:pPr>
      <w:r>
        <w:rPr>
          <w:rFonts w:hint="eastAsia"/>
          <w:sz w:val="55"/>
          <w:szCs w:val="55"/>
        </w:rPr>
        <w:t>中职教育质量年度报告</w:t>
      </w:r>
    </w:p>
    <w:p w14:paraId="495075D7">
      <w:pPr>
        <w:jc w:val="center"/>
        <w:rPr>
          <w:rFonts w:hint="eastAsia"/>
          <w:sz w:val="36"/>
          <w:szCs w:val="36"/>
        </w:rPr>
      </w:pPr>
      <w:r>
        <w:rPr>
          <w:rFonts w:hint="eastAsia"/>
          <w:sz w:val="56"/>
          <w:szCs w:val="56"/>
        </w:rPr>
        <w:t>2025年度</w:t>
      </w:r>
    </w:p>
    <w:p w14:paraId="24BC6828">
      <w:pPr>
        <w:jc w:val="both"/>
        <w:rPr>
          <w:rFonts w:hint="eastAsia"/>
          <w:sz w:val="72"/>
          <w:szCs w:val="112"/>
        </w:rPr>
      </w:pPr>
    </w:p>
    <w:p w14:paraId="19039E33">
      <w:pPr>
        <w:jc w:val="both"/>
        <w:rPr>
          <w:rFonts w:hint="eastAsia"/>
          <w:sz w:val="72"/>
          <w:szCs w:val="112"/>
        </w:rPr>
      </w:pPr>
    </w:p>
    <w:p w14:paraId="25B5E152">
      <w:pPr>
        <w:jc w:val="center"/>
        <w:rPr>
          <w:rFonts w:hint="eastAsia"/>
          <w:sz w:val="72"/>
          <w:szCs w:val="112"/>
        </w:rPr>
      </w:pPr>
    </w:p>
    <w:p w14:paraId="4E6411DD">
      <w:pPr>
        <w:jc w:val="center"/>
        <w:rPr>
          <w:rFonts w:hint="eastAsia"/>
          <w:sz w:val="72"/>
          <w:szCs w:val="112"/>
        </w:rPr>
      </w:pPr>
    </w:p>
    <w:p w14:paraId="5EBD2410">
      <w:pPr>
        <w:jc w:val="center"/>
        <w:rPr>
          <w:rFonts w:hint="eastAsia"/>
          <w:sz w:val="72"/>
          <w:szCs w:val="112"/>
        </w:rPr>
      </w:pPr>
    </w:p>
    <w:p w14:paraId="7521ED3D">
      <w:pPr>
        <w:jc w:val="center"/>
        <w:rPr>
          <w:rFonts w:hint="eastAsia"/>
          <w:sz w:val="72"/>
          <w:szCs w:val="112"/>
        </w:rPr>
      </w:pPr>
    </w:p>
    <w:p w14:paraId="7FA1C7CE">
      <w:pPr>
        <w:rPr>
          <w:rFonts w:hint="eastAsia"/>
        </w:rPr>
      </w:pPr>
    </w:p>
    <w:p w14:paraId="3E929301">
      <w:pPr>
        <w:rPr>
          <w:rFonts w:hint="eastAsia"/>
        </w:rPr>
      </w:pPr>
    </w:p>
    <w:p w14:paraId="05DF1E67">
      <w:pPr>
        <w:rPr>
          <w:rFonts w:hint="eastAsia"/>
        </w:rPr>
      </w:pPr>
    </w:p>
    <w:p w14:paraId="26ACA1E4">
      <w:pPr>
        <w:rPr>
          <w:rFonts w:hint="eastAsia"/>
        </w:rPr>
      </w:pPr>
    </w:p>
    <w:p w14:paraId="2BD6AE55">
      <w:pPr>
        <w:rPr>
          <w:rFonts w:hint="eastAsia"/>
        </w:rPr>
      </w:pPr>
    </w:p>
    <w:p w14:paraId="55E0A0D0">
      <w:pPr>
        <w:rPr>
          <w:rFonts w:hint="eastAsia"/>
        </w:rPr>
      </w:pPr>
    </w:p>
    <w:p w14:paraId="7D2D6233">
      <w:pPr>
        <w:rPr>
          <w:rFonts w:hint="eastAsia"/>
        </w:rPr>
      </w:pPr>
    </w:p>
    <w:p w14:paraId="62A9BFD5">
      <w:pPr>
        <w:jc w:val="center"/>
        <w:rPr>
          <w:rFonts w:hint="eastAsia"/>
          <w:sz w:val="43"/>
          <w:szCs w:val="43"/>
        </w:rPr>
      </w:pPr>
      <w:r>
        <w:rPr>
          <w:rFonts w:hint="eastAsia"/>
          <w:sz w:val="43"/>
          <w:szCs w:val="43"/>
        </w:rPr>
        <w:t>二〇二五年十二月二十日</w:t>
      </w:r>
    </w:p>
    <w:p w14:paraId="0CD224C1">
      <w:pPr>
        <w:rPr>
          <w:rFonts w:hint="eastAsia"/>
          <w:sz w:val="60"/>
          <w:szCs w:val="96"/>
        </w:rPr>
      </w:pPr>
    </w:p>
    <w:p w14:paraId="660BEC54">
      <w:pPr>
        <w:bidi w:val="0"/>
        <w:rPr>
          <w:rFonts w:hint="eastAsia"/>
          <w:lang w:val="en-US" w:eastAsia="zh-CN"/>
        </w:rPr>
      </w:pPr>
    </w:p>
    <w:p w14:paraId="78537C82">
      <w:pPr>
        <w:rPr>
          <w:rFonts w:hint="eastAsia" w:eastAsiaTheme="minorEastAsia"/>
          <w:lang w:val="en-US" w:eastAsia="zh-CN"/>
        </w:rPr>
      </w:pPr>
    </w:p>
    <w:p w14:paraId="1D889FD2">
      <w:pPr>
        <w:rPr>
          <w:rFonts w:hint="eastAsia"/>
        </w:rPr>
      </w:pPr>
    </w:p>
    <w:p w14:paraId="61E23E24">
      <w:pPr>
        <w:rPr>
          <w:rFonts w:hint="eastAsia"/>
        </w:rPr>
      </w:pPr>
    </w:p>
    <w:p w14:paraId="5382AF5C">
      <w:pPr>
        <w:rPr>
          <w:rFonts w:hint="eastAsia"/>
        </w:rPr>
      </w:pPr>
    </w:p>
    <w:p w14:paraId="552FA844">
      <w:pPr>
        <w:rPr>
          <w:rFonts w:hint="eastAsia"/>
        </w:rPr>
      </w:pPr>
    </w:p>
    <w:p w14:paraId="7974B582">
      <w:pPr>
        <w:rPr>
          <w:rFonts w:hint="eastAsia"/>
        </w:rPr>
      </w:pPr>
    </w:p>
    <w:p w14:paraId="1DE37E64">
      <w:pPr>
        <w:rPr>
          <w:rFonts w:hint="eastAsia"/>
        </w:rPr>
      </w:pPr>
    </w:p>
    <w:p w14:paraId="4238834D">
      <w:pPr>
        <w:rPr>
          <w:rFonts w:hint="eastAsia"/>
        </w:rPr>
      </w:pPr>
    </w:p>
    <w:p w14:paraId="0BCB14A8">
      <w:pPr>
        <w:rPr>
          <w:rFonts w:hint="eastAsia"/>
        </w:rPr>
      </w:pPr>
    </w:p>
    <w:p w14:paraId="3A9E0C97">
      <w:pPr>
        <w:rPr>
          <w:rFonts w:hint="eastAsia"/>
        </w:rPr>
      </w:pPr>
    </w:p>
    <w:p w14:paraId="742B2B49">
      <w:pPr>
        <w:rPr>
          <w:rFonts w:hint="eastAsia"/>
        </w:rPr>
      </w:pPr>
    </w:p>
    <w:p w14:paraId="6DC77FCD">
      <w:pPr>
        <w:rPr>
          <w:rFonts w:hint="eastAsia"/>
        </w:rPr>
      </w:pPr>
    </w:p>
    <w:p w14:paraId="4489AFC1">
      <w:pPr>
        <w:rPr>
          <w:rFonts w:hint="eastAsia"/>
        </w:rPr>
      </w:pPr>
    </w:p>
    <w:p w14:paraId="2304E9CB">
      <w:pPr>
        <w:rPr>
          <w:rFonts w:hint="eastAsia"/>
        </w:rPr>
      </w:pPr>
    </w:p>
    <w:p w14:paraId="5E30762A">
      <w:pPr>
        <w:rPr>
          <w:rFonts w:hint="eastAsia"/>
        </w:rPr>
      </w:pPr>
    </w:p>
    <w:p w14:paraId="75177398">
      <w:pPr>
        <w:rPr>
          <w:rFonts w:hint="eastAsia"/>
        </w:rPr>
      </w:pPr>
    </w:p>
    <w:p w14:paraId="383C8258">
      <w:pPr>
        <w:rPr>
          <w:rFonts w:hint="eastAsia"/>
        </w:rPr>
      </w:pPr>
    </w:p>
    <w:p w14:paraId="2A7D2AC8">
      <w:pPr>
        <w:rPr>
          <w:rFonts w:hint="eastAsia"/>
        </w:rPr>
      </w:pPr>
    </w:p>
    <w:p w14:paraId="59544E32">
      <w:pPr>
        <w:rPr>
          <w:rFonts w:hint="eastAsia"/>
        </w:rPr>
      </w:pPr>
    </w:p>
    <w:p w14:paraId="399D29C5">
      <w:pPr>
        <w:rPr>
          <w:rFonts w:hint="eastAsia"/>
        </w:rPr>
      </w:pPr>
    </w:p>
    <w:p w14:paraId="3B519A34">
      <w:pPr>
        <w:rPr>
          <w:rFonts w:hint="eastAsia"/>
        </w:rPr>
      </w:pPr>
    </w:p>
    <w:p w14:paraId="3D82BAE1">
      <w:pPr>
        <w:rPr>
          <w:rFonts w:hint="eastAsia"/>
        </w:rPr>
      </w:pPr>
    </w:p>
    <w:p w14:paraId="78CE15A8">
      <w:pPr>
        <w:rPr>
          <w:rFonts w:hint="eastAsia"/>
        </w:rPr>
      </w:pPr>
    </w:p>
    <w:p w14:paraId="37004C84">
      <w:pPr>
        <w:rPr>
          <w:rFonts w:hint="eastAsia"/>
        </w:rPr>
      </w:pPr>
    </w:p>
    <w:p w14:paraId="0AC4F633">
      <w:pPr>
        <w:rPr>
          <w:rFonts w:hint="eastAsia"/>
        </w:rPr>
      </w:pPr>
    </w:p>
    <w:p w14:paraId="5A0C7D45">
      <w:pPr>
        <w:rPr>
          <w:rFonts w:hint="eastAsia"/>
        </w:rPr>
      </w:pPr>
    </w:p>
    <w:p w14:paraId="48BA13A3">
      <w:pPr>
        <w:rPr>
          <w:rFonts w:hint="eastAsia"/>
        </w:rPr>
      </w:pPr>
    </w:p>
    <w:p w14:paraId="6595B2F8">
      <w:pPr>
        <w:rPr>
          <w:rFonts w:hint="eastAsia"/>
        </w:rPr>
      </w:pPr>
    </w:p>
    <w:p w14:paraId="361B5A5A">
      <w:pPr>
        <w:rPr>
          <w:rFonts w:hint="eastAsia"/>
        </w:rPr>
      </w:pPr>
    </w:p>
    <w:p w14:paraId="304F4C35">
      <w:pPr>
        <w:rPr>
          <w:rFonts w:hint="eastAsia"/>
        </w:rPr>
      </w:pPr>
    </w:p>
    <w:p w14:paraId="1DA614F3">
      <w:pPr>
        <w:rPr>
          <w:rFonts w:hint="eastAsia"/>
        </w:rPr>
      </w:pPr>
    </w:p>
    <w:p w14:paraId="3E4459C4">
      <w:pPr>
        <w:rPr>
          <w:rFonts w:hint="eastAsia"/>
        </w:rPr>
      </w:pPr>
    </w:p>
    <w:p w14:paraId="65ABEDCC">
      <w:pPr>
        <w:rPr>
          <w:rFonts w:hint="eastAsia"/>
        </w:rPr>
      </w:pPr>
    </w:p>
    <w:p w14:paraId="5CC87AC1">
      <w:pPr>
        <w:rPr>
          <w:rFonts w:hint="eastAsia"/>
        </w:rPr>
      </w:pPr>
    </w:p>
    <w:p w14:paraId="753AF6DD">
      <w:pPr>
        <w:rPr>
          <w:rFonts w:hint="eastAsia"/>
        </w:rPr>
      </w:pPr>
    </w:p>
    <w:p w14:paraId="7478116B">
      <w:pPr>
        <w:rPr>
          <w:rFonts w:hint="eastAsia"/>
        </w:rPr>
      </w:pPr>
    </w:p>
    <w:p w14:paraId="7C9210E2">
      <w:pPr>
        <w:rPr>
          <w:rFonts w:hint="eastAsia"/>
        </w:rPr>
      </w:pPr>
    </w:p>
    <w:p w14:paraId="03C6A5E4">
      <w:pPr>
        <w:rPr>
          <w:rFonts w:hint="eastAsia"/>
        </w:rPr>
      </w:pPr>
    </w:p>
    <w:p w14:paraId="40E573BD">
      <w:pPr>
        <w:rPr>
          <w:rFonts w:hint="eastAsia"/>
        </w:rPr>
      </w:pPr>
    </w:p>
    <w:p w14:paraId="1E3FD724">
      <w:pPr>
        <w:rPr>
          <w:rFonts w:hint="eastAsia"/>
        </w:rPr>
      </w:pPr>
    </w:p>
    <w:p w14:paraId="12710BDA">
      <w:pPr>
        <w:rPr>
          <w:rFonts w:hint="eastAsia"/>
        </w:rPr>
      </w:pPr>
    </w:p>
    <w:p w14:paraId="1D1A5E27">
      <w:pPr>
        <w:rPr>
          <w:rFonts w:hint="default"/>
          <w:lang w:val="en-US"/>
        </w:rPr>
      </w:pPr>
      <w:r>
        <w:rPr>
          <w:rFonts w:hint="default"/>
          <w:lang w:val="en-US"/>
        </w:rPr>
        <w:t>\</w:t>
      </w:r>
    </w:p>
    <w:p w14:paraId="57067CFD">
      <w:pPr>
        <w:rPr>
          <w:rFonts w:hint="eastAsia"/>
          <w:lang w:val="en-US"/>
        </w:rPr>
      </w:pPr>
      <w:bookmarkStart w:id="22" w:name="_GoBack"/>
      <w:bookmarkEnd w:id="22"/>
    </w:p>
    <w:p w14:paraId="1312A4B2">
      <w:pPr>
        <w:rPr>
          <w:rFonts w:hint="eastAsia"/>
        </w:rPr>
      </w:pPr>
    </w:p>
    <w:p w14:paraId="0DA4C763">
      <w:pPr>
        <w:rPr>
          <w:rFonts w:hint="eastAsia"/>
        </w:rPr>
      </w:pPr>
    </w:p>
    <w:p w14:paraId="3F9B1506">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-1129030</wp:posOffset>
            </wp:positionH>
            <wp:positionV relativeFrom="paragraph">
              <wp:posOffset>-723900</wp:posOffset>
            </wp:positionV>
            <wp:extent cx="7498715" cy="10390505"/>
            <wp:effectExtent l="0" t="0" r="0" b="0"/>
            <wp:wrapNone/>
            <wp:docPr id="2" name="图片 2" descr="2025-12-16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12-16_0011"/>
                    <pic:cNvPicPr>
                      <a:picLocks noChangeAspect="1"/>
                    </pic:cNvPicPr>
                  </pic:nvPicPr>
                  <pic:blipFill>
                    <a:blip r:embed="rId7"/>
                    <a:srcRect r="806"/>
                    <a:stretch>
                      <a:fillRect/>
                    </a:stretch>
                  </pic:blipFill>
                  <pic:spPr>
                    <a:xfrm>
                      <a:off x="0" y="0"/>
                      <a:ext cx="7498715" cy="10390505"/>
                    </a:xfrm>
                    <a:prstGeom prst="rect">
                      <a:avLst/>
                    </a:prstGeom>
                  </pic:spPr>
                </pic:pic>
              </a:graphicData>
            </a:graphic>
          </wp:anchor>
        </w:drawing>
      </w:r>
    </w:p>
    <w:p w14:paraId="56B04BDE">
      <w:pPr>
        <w:rPr>
          <w:rFonts w:hint="eastAsia" w:eastAsiaTheme="minorEastAsia"/>
          <w:lang w:eastAsia="zh-CN"/>
        </w:rPr>
      </w:pPr>
    </w:p>
    <w:p w14:paraId="595550C3">
      <w:pPr>
        <w:rPr>
          <w:rFonts w:hint="eastAsia"/>
        </w:rPr>
      </w:pPr>
    </w:p>
    <w:p w14:paraId="65484411">
      <w:pPr>
        <w:rPr>
          <w:rFonts w:hint="eastAsia"/>
        </w:rPr>
      </w:pPr>
    </w:p>
    <w:p w14:paraId="53FB926E">
      <w:pPr>
        <w:rPr>
          <w:rFonts w:hint="eastAsia"/>
        </w:rPr>
      </w:pPr>
    </w:p>
    <w:p w14:paraId="3CCE910D">
      <w:pPr>
        <w:rPr>
          <w:rFonts w:hint="eastAsia"/>
        </w:rPr>
      </w:pPr>
    </w:p>
    <w:p w14:paraId="7A423B5F">
      <w:pPr>
        <w:rPr>
          <w:rFonts w:hint="eastAsia"/>
        </w:rPr>
      </w:pPr>
    </w:p>
    <w:p w14:paraId="1577E473">
      <w:pPr>
        <w:rPr>
          <w:rFonts w:hint="eastAsia"/>
        </w:rPr>
      </w:pPr>
    </w:p>
    <w:p w14:paraId="4FEE4717">
      <w:pPr>
        <w:rPr>
          <w:rFonts w:hint="eastAsia"/>
        </w:rPr>
      </w:pPr>
    </w:p>
    <w:p w14:paraId="38B6B4EA">
      <w:pPr>
        <w:rPr>
          <w:rFonts w:hint="eastAsia"/>
        </w:rPr>
      </w:pPr>
    </w:p>
    <w:p w14:paraId="7392AAAE">
      <w:pPr>
        <w:rPr>
          <w:rFonts w:hint="eastAsia"/>
        </w:rPr>
      </w:pPr>
    </w:p>
    <w:p w14:paraId="270732D6">
      <w:pPr>
        <w:rPr>
          <w:rFonts w:hint="eastAsia"/>
        </w:rPr>
      </w:pPr>
    </w:p>
    <w:p w14:paraId="1BFCD684">
      <w:pPr>
        <w:rPr>
          <w:rFonts w:hint="eastAsia"/>
        </w:rPr>
      </w:pPr>
    </w:p>
    <w:p w14:paraId="6C553C27">
      <w:pPr>
        <w:rPr>
          <w:rFonts w:hint="eastAsia"/>
        </w:rPr>
      </w:pPr>
    </w:p>
    <w:p w14:paraId="35ED7FA8">
      <w:pPr>
        <w:rPr>
          <w:rFonts w:hint="eastAsia"/>
        </w:rPr>
      </w:pPr>
    </w:p>
    <w:p w14:paraId="18F2B4A5">
      <w:pPr>
        <w:rPr>
          <w:rFonts w:hint="eastAsia"/>
        </w:rPr>
      </w:pPr>
    </w:p>
    <w:p w14:paraId="1E88DF04">
      <w:pPr>
        <w:rPr>
          <w:rFonts w:hint="eastAsia"/>
        </w:rPr>
      </w:pPr>
    </w:p>
    <w:p w14:paraId="48FE73BF">
      <w:pPr>
        <w:rPr>
          <w:rFonts w:hint="eastAsia"/>
        </w:rPr>
      </w:pPr>
    </w:p>
    <w:p w14:paraId="42A28633">
      <w:pPr>
        <w:rPr>
          <w:rFonts w:hint="eastAsia"/>
        </w:rPr>
      </w:pPr>
    </w:p>
    <w:p w14:paraId="748CCB31">
      <w:pPr>
        <w:rPr>
          <w:rFonts w:hint="eastAsia"/>
        </w:rPr>
      </w:pPr>
    </w:p>
    <w:p w14:paraId="4D12F4CE">
      <w:pPr>
        <w:rPr>
          <w:rFonts w:hint="eastAsia"/>
        </w:rPr>
      </w:pPr>
    </w:p>
    <w:p w14:paraId="1C04618C">
      <w:pPr>
        <w:rPr>
          <w:rFonts w:hint="eastAsia"/>
        </w:rPr>
      </w:pPr>
    </w:p>
    <w:p w14:paraId="337BE72B">
      <w:pPr>
        <w:rPr>
          <w:rFonts w:hint="eastAsia"/>
        </w:rPr>
      </w:pPr>
    </w:p>
    <w:p w14:paraId="50EBD4A3">
      <w:pPr>
        <w:rPr>
          <w:rFonts w:hint="eastAsia"/>
        </w:rPr>
      </w:pPr>
    </w:p>
    <w:p w14:paraId="21E91DA3">
      <w:pPr>
        <w:rPr>
          <w:rFonts w:hint="eastAsia"/>
        </w:rPr>
      </w:pPr>
    </w:p>
    <w:p w14:paraId="68C46435">
      <w:pPr>
        <w:rPr>
          <w:rFonts w:hint="eastAsia"/>
        </w:rPr>
      </w:pPr>
    </w:p>
    <w:p w14:paraId="7962B406">
      <w:pPr>
        <w:rPr>
          <w:rFonts w:hint="eastAsia"/>
        </w:rPr>
      </w:pPr>
    </w:p>
    <w:p w14:paraId="29223E90">
      <w:pPr>
        <w:rPr>
          <w:rFonts w:hint="eastAsia"/>
        </w:rPr>
      </w:pPr>
    </w:p>
    <w:p w14:paraId="1010AD4A">
      <w:pPr>
        <w:rPr>
          <w:rFonts w:hint="eastAsia"/>
        </w:rPr>
      </w:pPr>
    </w:p>
    <w:p w14:paraId="7A4ED758">
      <w:pPr>
        <w:rPr>
          <w:rFonts w:hint="eastAsia"/>
        </w:rPr>
      </w:pPr>
    </w:p>
    <w:p w14:paraId="33DF4639">
      <w:pPr>
        <w:rPr>
          <w:rFonts w:hint="eastAsia"/>
        </w:rPr>
      </w:pPr>
    </w:p>
    <w:p w14:paraId="6ED5C2F1">
      <w:pPr>
        <w:rPr>
          <w:rFonts w:hint="eastAsia"/>
        </w:rPr>
      </w:pPr>
    </w:p>
    <w:p w14:paraId="68A870A5">
      <w:pPr>
        <w:rPr>
          <w:rFonts w:hint="eastAsia"/>
        </w:rPr>
      </w:pPr>
    </w:p>
    <w:p w14:paraId="68A2EC9B">
      <w:pPr>
        <w:rPr>
          <w:rFonts w:hint="eastAsia"/>
        </w:rPr>
      </w:pPr>
    </w:p>
    <w:p w14:paraId="6FE59E86">
      <w:pPr>
        <w:rPr>
          <w:rFonts w:hint="eastAsia"/>
        </w:rPr>
      </w:pPr>
    </w:p>
    <w:p w14:paraId="5F450738">
      <w:pPr>
        <w:rPr>
          <w:rFonts w:hint="eastAsia"/>
        </w:rPr>
      </w:pPr>
    </w:p>
    <w:p w14:paraId="179ABF77">
      <w:pPr>
        <w:rPr>
          <w:rFonts w:hint="eastAsia" w:eastAsiaTheme="minorEastAsia"/>
          <w:lang w:eastAsia="zh-CN"/>
        </w:rPr>
      </w:pPr>
    </w:p>
    <w:p w14:paraId="6B75A3C6">
      <w:pPr>
        <w:rPr>
          <w:rFonts w:hint="eastAsia"/>
        </w:rPr>
      </w:pPr>
    </w:p>
    <w:p w14:paraId="2D00E924">
      <w:pPr>
        <w:rPr>
          <w:rFonts w:hint="eastAsia"/>
        </w:rPr>
      </w:pPr>
    </w:p>
    <w:p w14:paraId="6C961DC3">
      <w:pPr>
        <w:rPr>
          <w:rFonts w:hint="eastAsia"/>
        </w:rPr>
      </w:pPr>
    </w:p>
    <w:p w14:paraId="0E3713A3">
      <w:pPr>
        <w:rPr>
          <w:rFonts w:hint="eastAsia"/>
        </w:rPr>
      </w:pPr>
    </w:p>
    <w:p w14:paraId="708AE28F">
      <w:pPr>
        <w:rPr>
          <w:rFonts w:hint="eastAsia"/>
        </w:rPr>
      </w:pPr>
    </w:p>
    <w:p w14:paraId="5F16F39C">
      <w:pPr>
        <w:rPr>
          <w:rFonts w:hint="eastAsia"/>
        </w:rPr>
      </w:pPr>
    </w:p>
    <w:p w14:paraId="0661482D">
      <w:pPr>
        <w:rPr>
          <w:rFonts w:hint="eastAsia"/>
        </w:rPr>
      </w:pPr>
    </w:p>
    <w:p w14:paraId="4DB6D8F3">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rPr>
      </w:pPr>
      <w:r>
        <w:rPr>
          <w:rFonts w:hint="eastAsia" w:ascii="仿宋" w:hAnsi="仿宋" w:eastAsia="仿宋" w:cs="仿宋"/>
          <w:sz w:val="44"/>
          <w:szCs w:val="44"/>
        </w:rPr>
        <w:t>前言</w:t>
      </w:r>
    </w:p>
    <w:p w14:paraId="1AE0F5CE">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石家庄新铁职业高级中学深入贯彻落实国家关于职业教育发展的战略部署，依据主管部门关于编制与发布中等职业学校质量年度报告的相关要求，</w:t>
      </w:r>
      <w:r>
        <w:rPr>
          <w:rFonts w:hint="eastAsia" w:ascii="仿宋" w:hAnsi="仿宋" w:eastAsia="仿宋" w:cs="仿宋"/>
          <w:sz w:val="32"/>
          <w:szCs w:val="32"/>
          <w:lang w:val="en-US" w:eastAsia="zh-CN"/>
        </w:rPr>
        <w:t>特</w:t>
      </w:r>
      <w:r>
        <w:rPr>
          <w:rFonts w:hint="eastAsia" w:ascii="仿宋" w:hAnsi="仿宋" w:eastAsia="仿宋" w:cs="仿宋"/>
          <w:sz w:val="32"/>
          <w:szCs w:val="32"/>
        </w:rPr>
        <w:t>编制发布《2024年度质量年度报告》。本报告旨在系统梳理学校年度办学实践与核心成果，全面呈现教育教学成效。报告编制由专项领导小组统筹推进，多部门协同参与，经数据采集、案例征集、多方核验、审议等环节，确保内容真实客观、案例详实有力。</w:t>
      </w:r>
    </w:p>
    <w:p w14:paraId="400CBDE0">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2024年</w:t>
      </w:r>
      <w:r>
        <w:rPr>
          <w:rFonts w:hint="eastAsia" w:ascii="仿宋" w:hAnsi="仿宋" w:eastAsia="仿宋" w:cs="仿宋"/>
          <w:sz w:val="32"/>
          <w:szCs w:val="32"/>
          <w:lang w:val="en-US" w:eastAsia="zh-CN"/>
        </w:rPr>
        <w:t>度</w:t>
      </w:r>
      <w:r>
        <w:rPr>
          <w:rFonts w:hint="eastAsia" w:ascii="仿宋" w:hAnsi="仿宋" w:eastAsia="仿宋" w:cs="仿宋"/>
          <w:sz w:val="32"/>
          <w:szCs w:val="32"/>
        </w:rPr>
        <w:t>学校工作呈现三大亮点：</w:t>
      </w:r>
      <w:r>
        <w:rPr>
          <w:rFonts w:hint="eastAsia" w:ascii="仿宋" w:hAnsi="仿宋" w:eastAsia="仿宋" w:cs="仿宋"/>
          <w:sz w:val="32"/>
          <w:szCs w:val="32"/>
          <w:lang w:val="en-US" w:eastAsia="zh-CN"/>
        </w:rPr>
        <w:t>一是</w:t>
      </w:r>
      <w:r>
        <w:rPr>
          <w:rFonts w:hint="eastAsia" w:ascii="仿宋" w:hAnsi="仿宋" w:eastAsia="仿宋" w:cs="仿宋"/>
          <w:sz w:val="32"/>
          <w:szCs w:val="32"/>
        </w:rPr>
        <w:t>创新构建“岗课赛证”四位一体人才培养模式，实现课程内容与岗位标准精准对接；</w:t>
      </w:r>
      <w:r>
        <w:rPr>
          <w:rFonts w:hint="eastAsia" w:ascii="仿宋" w:hAnsi="仿宋" w:eastAsia="仿宋" w:cs="仿宋"/>
          <w:sz w:val="32"/>
          <w:szCs w:val="32"/>
          <w:lang w:val="en-US" w:eastAsia="zh-CN"/>
        </w:rPr>
        <w:t>二是</w:t>
      </w:r>
      <w:r>
        <w:rPr>
          <w:rFonts w:hint="eastAsia" w:ascii="仿宋" w:hAnsi="仿宋" w:eastAsia="仿宋" w:cs="仿宋"/>
          <w:sz w:val="32"/>
          <w:szCs w:val="32"/>
        </w:rPr>
        <w:t>完善“三全育人”体系，开展特色德育实践，学生思想道德考核优秀率达92%；</w:t>
      </w:r>
      <w:r>
        <w:rPr>
          <w:rFonts w:hint="eastAsia" w:ascii="仿宋" w:hAnsi="仿宋" w:eastAsia="仿宋" w:cs="仿宋"/>
          <w:sz w:val="32"/>
          <w:szCs w:val="32"/>
          <w:lang w:val="en-US" w:eastAsia="zh-CN"/>
        </w:rPr>
        <w:t>三是</w:t>
      </w:r>
      <w:r>
        <w:rPr>
          <w:rFonts w:hint="eastAsia" w:ascii="仿宋" w:hAnsi="仿宋" w:eastAsia="仿宋" w:cs="仿宋"/>
          <w:sz w:val="32"/>
          <w:szCs w:val="32"/>
        </w:rPr>
        <w:t>建立学生成长大数据平台，形成学业、心理、职业发展三重保障机制，学生巩固率提升至98.7%。</w:t>
      </w:r>
    </w:p>
    <w:p w14:paraId="574613E2">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sz w:val="44"/>
          <w:szCs w:val="44"/>
        </w:rPr>
      </w:pPr>
      <w:r>
        <w:rPr>
          <w:rFonts w:hint="eastAsia" w:ascii="仿宋" w:hAnsi="仿宋" w:eastAsia="仿宋" w:cs="仿宋"/>
          <w:sz w:val="32"/>
          <w:szCs w:val="32"/>
        </w:rPr>
        <w:t>学校将持续深化教育教学改革，坚持高标准办学定位，突出职业教育特色，不断提升人才培养质量，为区域经济社会发展作出积极贡献。</w:t>
      </w:r>
    </w:p>
    <w:p w14:paraId="60440846">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1837A136">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24936943">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76379B84">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4D2D7665">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195AED1A">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34F1DA71">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44"/>
          <w:szCs w:val="44"/>
        </w:rPr>
      </w:pPr>
    </w:p>
    <w:p w14:paraId="3D3A4454">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目录</w:t>
      </w:r>
    </w:p>
    <w:p w14:paraId="5D6484EC">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1、基本情况----------------------------------------1</w:t>
      </w:r>
    </w:p>
    <w:p w14:paraId="23DF088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1.1学校概况-----------------------------------1</w:t>
      </w:r>
    </w:p>
    <w:p w14:paraId="77B3AA2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1.2学生情况-----------------------------------</w:t>
      </w:r>
      <w:r>
        <w:rPr>
          <w:rFonts w:hint="eastAsia" w:ascii="仿宋" w:hAnsi="仿宋" w:eastAsia="仿宋" w:cs="仿宋"/>
          <w:sz w:val="32"/>
          <w:szCs w:val="32"/>
          <w:highlight w:val="none"/>
          <w:lang w:val="en-US" w:eastAsia="zh-CN"/>
        </w:rPr>
        <w:t>1</w:t>
      </w:r>
    </w:p>
    <w:p w14:paraId="477C581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1.3教师队伍-----------------------------------</w:t>
      </w:r>
      <w:r>
        <w:rPr>
          <w:rFonts w:hint="eastAsia" w:ascii="仿宋" w:hAnsi="仿宋" w:eastAsia="仿宋" w:cs="仿宋"/>
          <w:sz w:val="32"/>
          <w:szCs w:val="32"/>
          <w:highlight w:val="none"/>
          <w:lang w:val="en-US" w:eastAsia="zh-CN"/>
        </w:rPr>
        <w:t>2</w:t>
      </w:r>
    </w:p>
    <w:p w14:paraId="4C81551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1.4设施设备-----------------------------------</w:t>
      </w:r>
      <w:r>
        <w:rPr>
          <w:rFonts w:hint="eastAsia" w:ascii="仿宋" w:hAnsi="仿宋" w:eastAsia="仿宋" w:cs="仿宋"/>
          <w:sz w:val="32"/>
          <w:szCs w:val="32"/>
          <w:highlight w:val="none"/>
          <w:lang w:val="en-US" w:eastAsia="zh-CN"/>
        </w:rPr>
        <w:t>3</w:t>
      </w:r>
    </w:p>
    <w:p w14:paraId="31BDF84B">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2、人才培养----------------------------------------</w:t>
      </w:r>
      <w:r>
        <w:rPr>
          <w:rFonts w:hint="eastAsia" w:ascii="仿宋" w:hAnsi="仿宋" w:eastAsia="仿宋" w:cs="仿宋"/>
          <w:sz w:val="32"/>
          <w:szCs w:val="32"/>
          <w:highlight w:val="none"/>
          <w:lang w:val="en-US" w:eastAsia="zh-CN"/>
        </w:rPr>
        <w:t>4</w:t>
      </w:r>
    </w:p>
    <w:p w14:paraId="010BB7E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2.1学生发展-----------------------------------</w:t>
      </w:r>
      <w:r>
        <w:rPr>
          <w:rFonts w:hint="eastAsia" w:ascii="仿宋" w:hAnsi="仿宋" w:eastAsia="仿宋" w:cs="仿宋"/>
          <w:sz w:val="32"/>
          <w:szCs w:val="32"/>
          <w:highlight w:val="none"/>
          <w:lang w:val="en-US" w:eastAsia="zh-CN"/>
        </w:rPr>
        <w:t>4</w:t>
      </w:r>
    </w:p>
    <w:p w14:paraId="04A218B2">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2.2教育教学.---------------------------------</w:t>
      </w:r>
      <w:r>
        <w:rPr>
          <w:rFonts w:hint="eastAsia" w:ascii="仿宋" w:hAnsi="仿宋" w:eastAsia="仿宋" w:cs="仿宋"/>
          <w:sz w:val="32"/>
          <w:szCs w:val="32"/>
          <w:highlight w:val="none"/>
          <w:lang w:val="en-US" w:eastAsia="zh-CN"/>
        </w:rPr>
        <w:t>11</w:t>
      </w:r>
    </w:p>
    <w:p w14:paraId="4A55CD5E">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3、服务贡献--------------------------------------</w:t>
      </w:r>
      <w:r>
        <w:rPr>
          <w:rFonts w:hint="eastAsia" w:ascii="仿宋" w:hAnsi="仿宋" w:eastAsia="仿宋" w:cs="仿宋"/>
          <w:sz w:val="32"/>
          <w:szCs w:val="32"/>
          <w:highlight w:val="none"/>
          <w:lang w:val="en-US" w:eastAsia="zh-CN"/>
        </w:rPr>
        <w:t>17</w:t>
      </w:r>
    </w:p>
    <w:p w14:paraId="6FFA2412">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4、文化传承--------------------------------------</w:t>
      </w:r>
      <w:r>
        <w:rPr>
          <w:rFonts w:hint="eastAsia" w:ascii="仿宋" w:hAnsi="仿宋" w:eastAsia="仿宋" w:cs="仿宋"/>
          <w:sz w:val="32"/>
          <w:szCs w:val="32"/>
          <w:highlight w:val="none"/>
          <w:lang w:val="en-US" w:eastAsia="zh-CN"/>
        </w:rPr>
        <w:t>18</w:t>
      </w:r>
    </w:p>
    <w:p w14:paraId="0F837F24">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4.1传承中华优秀传统文化----------------------</w:t>
      </w:r>
      <w:r>
        <w:rPr>
          <w:rFonts w:hint="eastAsia" w:ascii="仿宋" w:hAnsi="仿宋" w:eastAsia="仿宋" w:cs="仿宋"/>
          <w:sz w:val="32"/>
          <w:szCs w:val="32"/>
          <w:highlight w:val="none"/>
          <w:lang w:val="en-US" w:eastAsia="zh-CN"/>
        </w:rPr>
        <w:t>19</w:t>
      </w:r>
    </w:p>
    <w:p w14:paraId="36A42F13">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4.2延续革命精神与红色血脉--------------------</w:t>
      </w:r>
      <w:r>
        <w:rPr>
          <w:rFonts w:hint="eastAsia" w:ascii="仿宋" w:hAnsi="仿宋" w:eastAsia="仿宋" w:cs="仿宋"/>
          <w:sz w:val="32"/>
          <w:szCs w:val="32"/>
          <w:highlight w:val="none"/>
          <w:lang w:val="en-US" w:eastAsia="zh-CN"/>
        </w:rPr>
        <w:t>22</w:t>
      </w:r>
    </w:p>
    <w:p w14:paraId="3BE59D0F">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4.3繁荣特色校园文化</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25</w:t>
      </w:r>
    </w:p>
    <w:p w14:paraId="2B6A9B0C">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5、国际合作</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27</w:t>
      </w:r>
    </w:p>
    <w:p w14:paraId="53F5E19D">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、产教融合--------------------------------------</w:t>
      </w:r>
      <w:r>
        <w:rPr>
          <w:rFonts w:hint="eastAsia" w:ascii="仿宋" w:hAnsi="仿宋" w:eastAsia="仿宋" w:cs="仿宋"/>
          <w:sz w:val="32"/>
          <w:szCs w:val="32"/>
          <w:highlight w:val="none"/>
          <w:lang w:val="en-US" w:eastAsia="zh-CN"/>
        </w:rPr>
        <w:t>28</w:t>
      </w:r>
    </w:p>
    <w:p w14:paraId="084A6BCF">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.1校企合作开展情况和效果.-------------------</w:t>
      </w:r>
      <w:r>
        <w:rPr>
          <w:rFonts w:hint="eastAsia" w:ascii="仿宋" w:hAnsi="仿宋" w:eastAsia="仿宋" w:cs="仿宋"/>
          <w:sz w:val="32"/>
          <w:szCs w:val="32"/>
          <w:highlight w:val="none"/>
          <w:lang w:val="en-US" w:eastAsia="zh-CN"/>
        </w:rPr>
        <w:t>28</w:t>
      </w:r>
    </w:p>
    <w:p w14:paraId="3A24CD4D">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.2现代学徒制开展情况.-----------------------</w:t>
      </w:r>
      <w:r>
        <w:rPr>
          <w:rFonts w:hint="eastAsia" w:ascii="仿宋" w:hAnsi="仿宋" w:eastAsia="仿宋" w:cs="仿宋"/>
          <w:sz w:val="32"/>
          <w:szCs w:val="32"/>
          <w:highlight w:val="none"/>
          <w:lang w:val="en-US" w:eastAsia="zh-CN"/>
        </w:rPr>
        <w:t>30</w:t>
      </w:r>
    </w:p>
    <w:p w14:paraId="104BC209">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.3学生实习实训------------------------------</w:t>
      </w:r>
      <w:r>
        <w:rPr>
          <w:rFonts w:hint="eastAsia" w:ascii="仿宋" w:hAnsi="仿宋" w:eastAsia="仿宋" w:cs="仿宋"/>
          <w:sz w:val="32"/>
          <w:szCs w:val="32"/>
          <w:highlight w:val="none"/>
          <w:lang w:val="en-US" w:eastAsia="zh-CN"/>
        </w:rPr>
        <w:t>31</w:t>
      </w:r>
    </w:p>
    <w:p w14:paraId="3E44BF2B">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.4</w:t>
      </w:r>
      <w:r>
        <w:rPr>
          <w:rFonts w:hint="eastAsia" w:ascii="仿宋" w:hAnsi="仿宋" w:eastAsia="仿宋" w:cs="仿宋"/>
          <w:sz w:val="32"/>
          <w:szCs w:val="32"/>
          <w:highlight w:val="none"/>
          <w:lang w:val="en-US" w:eastAsia="zh-CN"/>
        </w:rPr>
        <w:t>优秀毕业生实习案例</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34</w:t>
      </w:r>
    </w:p>
    <w:p w14:paraId="169E301E">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、发展保障---------------------------------------</w:t>
      </w:r>
      <w:r>
        <w:rPr>
          <w:rFonts w:hint="eastAsia" w:ascii="仿宋" w:hAnsi="仿宋" w:eastAsia="仿宋" w:cs="仿宋"/>
          <w:sz w:val="32"/>
          <w:szCs w:val="32"/>
          <w:highlight w:val="none"/>
          <w:lang w:val="en-US" w:eastAsia="zh-CN"/>
        </w:rPr>
        <w:t>36</w:t>
      </w:r>
    </w:p>
    <w:p w14:paraId="185D0888">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.1政策落实----------------------------------</w:t>
      </w:r>
      <w:r>
        <w:rPr>
          <w:rFonts w:hint="eastAsia" w:ascii="仿宋" w:hAnsi="仿宋" w:eastAsia="仿宋" w:cs="仿宋"/>
          <w:sz w:val="32"/>
          <w:szCs w:val="32"/>
          <w:highlight w:val="none"/>
          <w:lang w:val="en-US" w:eastAsia="zh-CN"/>
        </w:rPr>
        <w:t>36</w:t>
      </w:r>
    </w:p>
    <w:p w14:paraId="0BD934C7">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.2</w:t>
      </w:r>
      <w:r>
        <w:rPr>
          <w:rFonts w:hint="eastAsia" w:ascii="仿宋" w:hAnsi="仿宋" w:eastAsia="仿宋" w:cs="仿宋"/>
          <w:sz w:val="32"/>
          <w:szCs w:val="32"/>
          <w:highlight w:val="none"/>
          <w:lang w:val="en-US" w:eastAsia="zh-CN"/>
        </w:rPr>
        <w:t>制度保障</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37</w:t>
      </w:r>
    </w:p>
    <w:p w14:paraId="5A7DCC8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.3学校治理----------------------------------</w:t>
      </w:r>
      <w:r>
        <w:rPr>
          <w:rFonts w:hint="eastAsia" w:ascii="仿宋" w:hAnsi="仿宋" w:eastAsia="仿宋" w:cs="仿宋"/>
          <w:sz w:val="32"/>
          <w:szCs w:val="32"/>
          <w:highlight w:val="none"/>
          <w:lang w:val="en-US" w:eastAsia="zh-CN"/>
        </w:rPr>
        <w:t>37</w:t>
      </w:r>
    </w:p>
    <w:p w14:paraId="14A4DB54">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.4质量保证体系建设--------------------------</w:t>
      </w:r>
      <w:r>
        <w:rPr>
          <w:rFonts w:hint="eastAsia" w:ascii="仿宋" w:hAnsi="仿宋" w:eastAsia="仿宋" w:cs="仿宋"/>
          <w:sz w:val="32"/>
          <w:szCs w:val="32"/>
          <w:highlight w:val="none"/>
          <w:lang w:val="en-US" w:eastAsia="zh-CN"/>
        </w:rPr>
        <w:t>39</w:t>
      </w:r>
    </w:p>
    <w:p w14:paraId="5F1A36A8">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.5经费统筹与条件资源保障--------------------</w:t>
      </w:r>
      <w:r>
        <w:rPr>
          <w:rFonts w:hint="eastAsia" w:ascii="仿宋" w:hAnsi="仿宋" w:eastAsia="仿宋" w:cs="仿宋"/>
          <w:sz w:val="32"/>
          <w:szCs w:val="32"/>
          <w:highlight w:val="none"/>
          <w:lang w:val="en-US" w:eastAsia="zh-CN"/>
        </w:rPr>
        <w:t>41</w:t>
      </w:r>
    </w:p>
    <w:p w14:paraId="0CB5879E">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7.6校园安全稳定与风险防控保障</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42</w:t>
      </w:r>
    </w:p>
    <w:p w14:paraId="30AC6438">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、挑战与展望.------------------------------------</w:t>
      </w:r>
      <w:r>
        <w:rPr>
          <w:rFonts w:hint="eastAsia" w:ascii="仿宋" w:hAnsi="仿宋" w:eastAsia="仿宋" w:cs="仿宋"/>
          <w:sz w:val="32"/>
          <w:szCs w:val="32"/>
          <w:highlight w:val="none"/>
          <w:lang w:val="en-US" w:eastAsia="zh-CN"/>
        </w:rPr>
        <w:t>44</w:t>
      </w:r>
    </w:p>
    <w:p w14:paraId="5095B41C">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.1面临挑战.---------------------------------</w:t>
      </w:r>
      <w:r>
        <w:rPr>
          <w:rFonts w:hint="eastAsia" w:ascii="仿宋" w:hAnsi="仿宋" w:eastAsia="仿宋" w:cs="仿宋"/>
          <w:sz w:val="32"/>
          <w:szCs w:val="32"/>
          <w:highlight w:val="none"/>
          <w:lang w:val="en-US" w:eastAsia="zh-CN"/>
        </w:rPr>
        <w:t>45</w:t>
      </w:r>
    </w:p>
    <w:p w14:paraId="139D329E">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.2未来展望.---------------------------------</w:t>
      </w:r>
      <w:r>
        <w:rPr>
          <w:rFonts w:hint="eastAsia" w:ascii="仿宋" w:hAnsi="仿宋" w:eastAsia="仿宋" w:cs="仿宋"/>
          <w:sz w:val="32"/>
          <w:szCs w:val="32"/>
          <w:highlight w:val="none"/>
          <w:lang w:val="en-US" w:eastAsia="zh-CN"/>
        </w:rPr>
        <w:t>48</w:t>
      </w:r>
    </w:p>
    <w:p w14:paraId="1FE2588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61EE14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3E57095">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EE8CC6A">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33153C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BE7F714">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8A20488">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837019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340899E2">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3D682030">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AC7253C">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228A8A53">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295E95A">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22A0871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A155E16">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6901FA3">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B241E5A">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7104040">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8F0674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表目录</w:t>
      </w:r>
    </w:p>
    <w:p w14:paraId="4237E1D1">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表1中等职业学校学生情况统计表--------------------</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表2中等职业学校教师队伍情况统计表----------------</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表3中等职业学校设施设备情况统计表----------------</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表4中等职业学校“立德树人”情况统计表------------</w:t>
      </w:r>
      <w:r>
        <w:rPr>
          <w:rFonts w:hint="eastAsia" w:ascii="仿宋" w:hAnsi="仿宋" w:eastAsia="仿宋" w:cs="仿宋"/>
          <w:sz w:val="32"/>
          <w:szCs w:val="32"/>
          <w:highlight w:val="none"/>
          <w:lang w:val="en-US" w:eastAsia="zh-CN"/>
        </w:rPr>
        <w:t>9</w:t>
      </w:r>
    </w:p>
    <w:p w14:paraId="070404E0">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升学情况分析.---------------------------------</w:t>
      </w:r>
      <w:r>
        <w:rPr>
          <w:rFonts w:hint="eastAsia" w:ascii="仿宋" w:hAnsi="仿宋" w:eastAsia="仿宋" w:cs="仿宋"/>
          <w:sz w:val="32"/>
          <w:szCs w:val="32"/>
          <w:highlight w:val="none"/>
          <w:lang w:val="en-US" w:eastAsia="zh-CN"/>
        </w:rPr>
        <w:t>10</w:t>
      </w: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获奖情况-------------------------------------</w:t>
      </w:r>
      <w:r>
        <w:rPr>
          <w:rFonts w:hint="eastAsia" w:ascii="仿宋" w:hAnsi="仿宋" w:eastAsia="仿宋" w:cs="仿宋"/>
          <w:sz w:val="32"/>
          <w:szCs w:val="32"/>
          <w:highlight w:val="none"/>
          <w:lang w:val="en-US" w:eastAsia="zh-CN"/>
        </w:rPr>
        <w:t>10</w:t>
      </w: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教材编写信息----------------------------------</w:t>
      </w:r>
      <w:r>
        <w:rPr>
          <w:rFonts w:hint="eastAsia" w:ascii="仿宋" w:hAnsi="仿宋" w:eastAsia="仿宋" w:cs="仿宋"/>
          <w:sz w:val="32"/>
          <w:szCs w:val="32"/>
          <w:highlight w:val="none"/>
          <w:lang w:val="en-US" w:eastAsia="zh-CN"/>
        </w:rPr>
        <w:t>14</w:t>
      </w:r>
    </w:p>
    <w:p w14:paraId="22A249B2">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中等职业学校就业质量相关情况统计表-----------</w:t>
      </w:r>
      <w:r>
        <w:rPr>
          <w:rFonts w:hint="eastAsia" w:ascii="仿宋" w:hAnsi="仿宋" w:eastAsia="仿宋" w:cs="仿宋"/>
          <w:sz w:val="32"/>
          <w:szCs w:val="32"/>
          <w:highlight w:val="none"/>
          <w:lang w:val="en-US" w:eastAsia="zh-CN"/>
        </w:rPr>
        <w:t>28</w:t>
      </w: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9</w:t>
      </w:r>
      <w:r>
        <w:rPr>
          <w:rFonts w:hint="eastAsia" w:ascii="仿宋" w:hAnsi="仿宋" w:eastAsia="仿宋" w:cs="仿宋"/>
          <w:sz w:val="32"/>
          <w:szCs w:val="32"/>
          <w:highlight w:val="none"/>
        </w:rPr>
        <w:t>专业对口统计---------------------------------</w:t>
      </w:r>
      <w:r>
        <w:rPr>
          <w:rFonts w:hint="eastAsia" w:ascii="仿宋" w:hAnsi="仿宋" w:eastAsia="仿宋" w:cs="仿宋"/>
          <w:sz w:val="32"/>
          <w:szCs w:val="32"/>
          <w:highlight w:val="none"/>
          <w:lang w:val="en-US" w:eastAsia="zh-CN"/>
        </w:rPr>
        <w:t>28</w:t>
      </w: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10</w:t>
      </w:r>
      <w:r>
        <w:rPr>
          <w:rFonts w:hint="eastAsia" w:ascii="仿宋" w:hAnsi="仿宋" w:eastAsia="仿宋" w:cs="仿宋"/>
          <w:sz w:val="32"/>
          <w:szCs w:val="32"/>
          <w:highlight w:val="none"/>
        </w:rPr>
        <w:t>毕业生服务第三产业人数-----------------------</w:t>
      </w:r>
      <w:r>
        <w:rPr>
          <w:rFonts w:hint="eastAsia" w:ascii="仿宋" w:hAnsi="仿宋" w:eastAsia="仿宋" w:cs="仿宋"/>
          <w:sz w:val="32"/>
          <w:szCs w:val="32"/>
          <w:highlight w:val="none"/>
          <w:lang w:val="en-US" w:eastAsia="zh-CN"/>
        </w:rPr>
        <w:t>29</w:t>
      </w:r>
    </w:p>
    <w:p w14:paraId="5685F732">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rPr>
        <w:t>表1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设备信息------------------------------------</w:t>
      </w:r>
      <w:r>
        <w:rPr>
          <w:rFonts w:hint="eastAsia" w:ascii="仿宋" w:hAnsi="仿宋" w:eastAsia="仿宋" w:cs="仿宋"/>
          <w:sz w:val="32"/>
          <w:szCs w:val="32"/>
          <w:highlight w:val="none"/>
          <w:lang w:val="en-US" w:eastAsia="zh-CN"/>
        </w:rPr>
        <w:t>29</w:t>
      </w:r>
      <w:r>
        <w:rPr>
          <w:rFonts w:hint="eastAsia" w:ascii="仿宋" w:hAnsi="仿宋" w:eastAsia="仿宋" w:cs="仿宋"/>
          <w:sz w:val="32"/>
          <w:szCs w:val="32"/>
          <w:highlight w:val="none"/>
        </w:rPr>
        <w:t>表1</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毕业生就业学徒制企业统计---------------------</w:t>
      </w:r>
      <w:r>
        <w:rPr>
          <w:rFonts w:hint="eastAsia" w:ascii="仿宋" w:hAnsi="仿宋" w:eastAsia="仿宋" w:cs="仿宋"/>
          <w:sz w:val="32"/>
          <w:szCs w:val="32"/>
          <w:highlight w:val="none"/>
          <w:lang w:val="en-US" w:eastAsia="zh-CN"/>
        </w:rPr>
        <w:t>31</w:t>
      </w:r>
    </w:p>
    <w:p w14:paraId="78EE7308">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13实习实训表</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31</w:t>
      </w:r>
    </w:p>
    <w:p w14:paraId="3A427898">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14</w:t>
      </w:r>
      <w:r>
        <w:rPr>
          <w:rFonts w:hint="eastAsia" w:ascii="仿宋" w:hAnsi="仿宋" w:eastAsia="仿宋" w:cs="仿宋"/>
          <w:sz w:val="32"/>
          <w:szCs w:val="32"/>
          <w:highlight w:val="none"/>
        </w:rPr>
        <w:t>优秀毕业生的案例-----------------------------</w:t>
      </w:r>
      <w:r>
        <w:rPr>
          <w:rFonts w:hint="eastAsia" w:ascii="仿宋" w:hAnsi="仿宋" w:eastAsia="仿宋" w:cs="仿宋"/>
          <w:sz w:val="32"/>
          <w:szCs w:val="32"/>
          <w:highlight w:val="none"/>
          <w:lang w:val="en-US" w:eastAsia="zh-CN"/>
        </w:rPr>
        <w:t>34</w:t>
      </w:r>
    </w:p>
    <w:p w14:paraId="2ED533E9">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E897B58">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0C19ABF">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1D7BB8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398A4E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313DA59">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D49425B">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10F06B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AD9BA61">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E58E58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89A0228">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44"/>
          <w:szCs w:val="44"/>
          <w:highlight w:val="none"/>
        </w:rPr>
        <w:t>图目录</w:t>
      </w:r>
    </w:p>
    <w:p w14:paraId="2E1ED41B">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2A4B521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8AAF91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图1班会主题教育-----------------------------------</w:t>
      </w:r>
      <w:r>
        <w:rPr>
          <w:rFonts w:hint="eastAsia" w:ascii="仿宋" w:hAnsi="仿宋" w:eastAsia="仿宋" w:cs="仿宋"/>
          <w:sz w:val="32"/>
          <w:szCs w:val="32"/>
          <w:highlight w:val="none"/>
          <w:lang w:val="en-US" w:eastAsia="zh-CN"/>
        </w:rPr>
        <w:t>7</w:t>
      </w:r>
    </w:p>
    <w:p w14:paraId="7ED7AEA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图2社团活动--------------------------------------</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图3学生获奖-------------------------------------</w:t>
      </w:r>
      <w:r>
        <w:rPr>
          <w:rFonts w:hint="eastAsia" w:ascii="仿宋" w:hAnsi="仿宋" w:eastAsia="仿宋" w:cs="仿宋"/>
          <w:sz w:val="32"/>
          <w:szCs w:val="32"/>
          <w:highlight w:val="none"/>
          <w:lang w:val="en-US" w:eastAsia="zh-CN"/>
        </w:rPr>
        <w:t>11</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教师业务培训.---------------------------------</w:t>
      </w:r>
      <w:r>
        <w:rPr>
          <w:rFonts w:hint="eastAsia" w:ascii="仿宋" w:hAnsi="仿宋" w:eastAsia="仿宋" w:cs="仿宋"/>
          <w:sz w:val="32"/>
          <w:szCs w:val="32"/>
          <w:highlight w:val="none"/>
          <w:lang w:val="en-US" w:eastAsia="zh-CN"/>
        </w:rPr>
        <w:t>15</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教师课件培训.--------------------------------</w:t>
      </w:r>
      <w:r>
        <w:rPr>
          <w:rFonts w:hint="eastAsia" w:ascii="仿宋" w:hAnsi="仿宋" w:eastAsia="仿宋" w:cs="仿宋"/>
          <w:sz w:val="32"/>
          <w:szCs w:val="32"/>
          <w:highlight w:val="none"/>
          <w:lang w:val="en-US" w:eastAsia="zh-CN"/>
        </w:rPr>
        <w:t>15</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全体教师会议.--------------------------------</w:t>
      </w:r>
      <w:r>
        <w:rPr>
          <w:rFonts w:hint="eastAsia" w:ascii="仿宋" w:hAnsi="仿宋" w:eastAsia="仿宋" w:cs="仿宋"/>
          <w:sz w:val="32"/>
          <w:szCs w:val="32"/>
          <w:highlight w:val="none"/>
          <w:lang w:val="en-US" w:eastAsia="zh-CN"/>
        </w:rPr>
        <w:t>16</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教研组组长例会-------------------------------</w:t>
      </w:r>
      <w:r>
        <w:rPr>
          <w:rFonts w:hint="eastAsia" w:ascii="仿宋" w:hAnsi="仿宋" w:eastAsia="仿宋" w:cs="仿宋"/>
          <w:sz w:val="32"/>
          <w:szCs w:val="32"/>
          <w:highlight w:val="none"/>
          <w:lang w:val="en-US" w:eastAsia="zh-CN"/>
        </w:rPr>
        <w:t>16</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 xml:space="preserve">8 </w:t>
      </w:r>
      <w:r>
        <w:rPr>
          <w:rFonts w:hint="eastAsia" w:ascii="仿宋" w:hAnsi="仿宋" w:eastAsia="仿宋" w:cs="仿宋"/>
          <w:sz w:val="32"/>
          <w:szCs w:val="32"/>
          <w:highlight w:val="none"/>
        </w:rPr>
        <w:t>教研组研讨----------------------------------</w:t>
      </w:r>
      <w:r>
        <w:rPr>
          <w:rFonts w:hint="eastAsia" w:ascii="仿宋" w:hAnsi="仿宋" w:eastAsia="仿宋" w:cs="仿宋"/>
          <w:sz w:val="32"/>
          <w:szCs w:val="32"/>
          <w:highlight w:val="none"/>
          <w:lang w:val="en-US" w:eastAsia="zh-CN"/>
        </w:rPr>
        <w:t>17</w:t>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 xml:space="preserve">9 </w:t>
      </w:r>
      <w:r>
        <w:rPr>
          <w:rFonts w:hint="eastAsia" w:ascii="仿宋" w:hAnsi="仿宋" w:eastAsia="仿宋" w:cs="仿宋"/>
          <w:sz w:val="32"/>
          <w:szCs w:val="32"/>
          <w:highlight w:val="none"/>
        </w:rPr>
        <w:t>就业单位------------------------------------</w:t>
      </w:r>
      <w:r>
        <w:rPr>
          <w:rFonts w:hint="eastAsia" w:ascii="仿宋" w:hAnsi="仿宋" w:eastAsia="仿宋" w:cs="仿宋"/>
          <w:sz w:val="32"/>
          <w:szCs w:val="32"/>
          <w:highlight w:val="none"/>
          <w:lang w:val="en-US" w:eastAsia="zh-CN"/>
        </w:rPr>
        <w:t>18</w:t>
      </w:r>
      <w:r>
        <w:rPr>
          <w:rFonts w:hint="eastAsia" w:ascii="仿宋" w:hAnsi="仿宋" w:eastAsia="仿宋" w:cs="仿宋"/>
          <w:sz w:val="32"/>
          <w:szCs w:val="32"/>
          <w:highlight w:val="none"/>
        </w:rPr>
        <w:t>图1</w:t>
      </w:r>
      <w:r>
        <w:rPr>
          <w:rFonts w:hint="eastAsia" w:ascii="仿宋" w:hAnsi="仿宋" w:eastAsia="仿宋" w:cs="仿宋"/>
          <w:sz w:val="32"/>
          <w:szCs w:val="32"/>
          <w:highlight w:val="none"/>
          <w:lang w:val="en-US" w:eastAsia="zh-CN"/>
        </w:rPr>
        <w:t>0</w:t>
      </w:r>
      <w:r>
        <w:rPr>
          <w:rFonts w:hint="eastAsia" w:ascii="仿宋" w:hAnsi="仿宋" w:eastAsia="仿宋" w:cs="仿宋"/>
          <w:sz w:val="32"/>
          <w:szCs w:val="32"/>
          <w:highlight w:val="none"/>
        </w:rPr>
        <w:t>校企合作培训--------------------------------</w:t>
      </w:r>
      <w:r>
        <w:rPr>
          <w:rFonts w:hint="eastAsia" w:ascii="仿宋" w:hAnsi="仿宋" w:eastAsia="仿宋" w:cs="仿宋"/>
          <w:sz w:val="32"/>
          <w:szCs w:val="32"/>
          <w:highlight w:val="none"/>
          <w:lang w:val="en-US" w:eastAsia="zh-CN"/>
        </w:rPr>
        <w:t>18</w:t>
      </w:r>
      <w:r>
        <w:rPr>
          <w:rFonts w:hint="eastAsia" w:ascii="仿宋" w:hAnsi="仿宋" w:eastAsia="仿宋" w:cs="仿宋"/>
          <w:sz w:val="32"/>
          <w:szCs w:val="32"/>
          <w:highlight w:val="none"/>
        </w:rPr>
        <w:t>图1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公益</w:t>
      </w:r>
      <w:r>
        <w:rPr>
          <w:rFonts w:hint="eastAsia" w:ascii="仿宋" w:hAnsi="仿宋" w:eastAsia="仿宋" w:cs="仿宋"/>
          <w:sz w:val="32"/>
          <w:szCs w:val="32"/>
          <w:highlight w:val="none"/>
          <w:lang w:val="en-US" w:eastAsia="zh-CN"/>
        </w:rPr>
        <w:t>行动</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21</w:t>
      </w:r>
      <w:r>
        <w:rPr>
          <w:rFonts w:hint="eastAsia" w:ascii="仿宋" w:hAnsi="仿宋" w:eastAsia="仿宋" w:cs="仿宋"/>
          <w:sz w:val="32"/>
          <w:szCs w:val="32"/>
          <w:highlight w:val="none"/>
        </w:rPr>
        <w:t>图1</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国家公祭日活动------------------------------</w:t>
      </w:r>
      <w:r>
        <w:rPr>
          <w:rFonts w:hint="eastAsia" w:ascii="仿宋" w:hAnsi="仿宋" w:eastAsia="仿宋" w:cs="仿宋"/>
          <w:sz w:val="32"/>
          <w:szCs w:val="32"/>
          <w:highlight w:val="none"/>
          <w:lang w:val="en-US" w:eastAsia="zh-CN"/>
        </w:rPr>
        <w:t>23</w:t>
      </w:r>
      <w:r>
        <w:rPr>
          <w:rFonts w:hint="eastAsia" w:ascii="仿宋" w:hAnsi="仿宋" w:eastAsia="仿宋" w:cs="仿宋"/>
          <w:sz w:val="32"/>
          <w:szCs w:val="32"/>
          <w:highlight w:val="none"/>
        </w:rPr>
        <w:t>图1</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西柏坡红色教育研学活动-----------------------</w:t>
      </w:r>
      <w:r>
        <w:rPr>
          <w:rFonts w:hint="eastAsia" w:ascii="仿宋" w:hAnsi="仿宋" w:eastAsia="仿宋" w:cs="仿宋"/>
          <w:sz w:val="32"/>
          <w:szCs w:val="32"/>
          <w:highlight w:val="none"/>
          <w:lang w:val="en-US" w:eastAsia="zh-CN"/>
        </w:rPr>
        <w:t>24</w:t>
      </w:r>
    </w:p>
    <w:p w14:paraId="08E68C4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14校企合作签约仪式</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30</w:t>
      </w:r>
    </w:p>
    <w:p w14:paraId="16996EB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4FB9F32">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8CE611C">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F9CEB65">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74AD1E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5966522">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70D348F">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9294B42">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案例目录</w:t>
      </w:r>
    </w:p>
    <w:p w14:paraId="4522CC06">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35DFCE9C">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27A1774B">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案例</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中铁电气化局集团第一工程有限公司—张海坤----</w:t>
      </w:r>
      <w:r>
        <w:rPr>
          <w:rFonts w:hint="eastAsia" w:ascii="仿宋" w:hAnsi="仿宋" w:eastAsia="仿宋" w:cs="仿宋"/>
          <w:sz w:val="32"/>
          <w:szCs w:val="32"/>
          <w:highlight w:val="none"/>
          <w:lang w:val="en-US" w:eastAsia="zh-CN"/>
        </w:rPr>
        <w:t>34</w:t>
      </w:r>
    </w:p>
    <w:p w14:paraId="680FDAF2">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案例2河北路桥建设有限公司—岳齐江---------------</w:t>
      </w:r>
      <w:r>
        <w:rPr>
          <w:rFonts w:hint="eastAsia" w:ascii="仿宋" w:hAnsi="仿宋" w:eastAsia="仿宋" w:cs="仿宋"/>
          <w:sz w:val="32"/>
          <w:szCs w:val="32"/>
          <w:highlight w:val="none"/>
          <w:lang w:val="en-US" w:eastAsia="zh-CN"/>
        </w:rPr>
        <w:t>35</w:t>
      </w:r>
    </w:p>
    <w:p w14:paraId="1802E4BD">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案例3江苏省工业设备安装集团有限公司—杨梦浩-----</w:t>
      </w:r>
      <w:r>
        <w:rPr>
          <w:rFonts w:hint="eastAsia" w:ascii="仿宋" w:hAnsi="仿宋" w:eastAsia="仿宋" w:cs="仿宋"/>
          <w:sz w:val="32"/>
          <w:szCs w:val="32"/>
          <w:highlight w:val="none"/>
          <w:lang w:val="en-US" w:eastAsia="zh-CN"/>
        </w:rPr>
        <w:t>35</w:t>
      </w:r>
    </w:p>
    <w:p w14:paraId="08B1CF8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F5077E1">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C00427F">
      <w:pPr>
        <w:keepNext w:val="0"/>
        <w:keepLines w:val="0"/>
        <w:pageBreakBefore w:val="0"/>
        <w:kinsoku/>
        <w:wordWrap/>
        <w:overflowPunct/>
        <w:topLinePunct w:val="0"/>
        <w:autoSpaceDE/>
        <w:autoSpaceDN/>
        <w:bidi w:val="0"/>
        <w:adjustRightInd/>
        <w:snapToGrid/>
        <w:spacing w:line="560" w:lineRule="exac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p>
    <w:p w14:paraId="0C1C5A78">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7BC8D5F">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380733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5DAA7ED4">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4B9E82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427245A">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75135F3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86F650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689307A8">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1F2A165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4799496B">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p>
    <w:p w14:paraId="020C348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6EBD02E3">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1、基本情况</w:t>
      </w:r>
    </w:p>
    <w:p w14:paraId="3A8BCE8A">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1.1学校概况</w:t>
      </w:r>
    </w:p>
    <w:p w14:paraId="39013C9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石家庄新铁职业高级中学坐落于石家庄市新华区石清路兴北街1号，学校占地面积126873㎡、建筑面积55921㎡。是经石家庄市教育局批准的全日制职业高中、省级重点学校。学校</w:t>
      </w:r>
      <w:r>
        <w:rPr>
          <w:rFonts w:hint="eastAsia" w:ascii="仿宋" w:hAnsi="仿宋" w:eastAsia="仿宋" w:cs="仿宋"/>
          <w:sz w:val="32"/>
          <w:szCs w:val="32"/>
          <w:highlight w:val="none"/>
          <w:lang w:val="en-US" w:eastAsia="zh-CN"/>
        </w:rPr>
        <w:t>采用</w:t>
      </w:r>
      <w:r>
        <w:rPr>
          <w:rFonts w:hint="eastAsia" w:ascii="仿宋" w:hAnsi="仿宋" w:eastAsia="仿宋" w:cs="仿宋"/>
          <w:sz w:val="32"/>
          <w:szCs w:val="32"/>
          <w:highlight w:val="none"/>
        </w:rPr>
        <w:t>“文化课+专业课”</w:t>
      </w:r>
      <w:r>
        <w:rPr>
          <w:rFonts w:hint="eastAsia" w:ascii="仿宋" w:hAnsi="仿宋" w:eastAsia="仿宋" w:cs="仿宋"/>
          <w:sz w:val="32"/>
          <w:szCs w:val="32"/>
          <w:highlight w:val="none"/>
          <w:lang w:val="en-US" w:eastAsia="zh-CN"/>
        </w:rPr>
        <w:t>的</w:t>
      </w:r>
      <w:r>
        <w:rPr>
          <w:rFonts w:hint="eastAsia" w:ascii="仿宋" w:hAnsi="仿宋" w:eastAsia="仿宋" w:cs="仿宋"/>
          <w:sz w:val="32"/>
          <w:szCs w:val="32"/>
          <w:highlight w:val="none"/>
        </w:rPr>
        <w:t>培养模式</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其铁道车辆运用与检修、电气化铁道供电、铁道运输服务、机电技术应用主干专业正处于专业生命周期的成熟期，专业人数较稳定，师资力量较强，教学设施较好，学生就业率较高，社会声誉好。</w:t>
      </w:r>
    </w:p>
    <w:p w14:paraId="7F9ACA2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学校始终秉持“立足省会，服务社会，对接产业，培育英才”的办学宗旨，历经三十余载耕耘，已发展成为一所在省内外享有良好声誉的现代化中等职业学校。</w:t>
      </w:r>
    </w:p>
    <w:p w14:paraId="139F49E9">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1.2学生情况</w:t>
      </w:r>
    </w:p>
    <w:p w14:paraId="088FE08B">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近年来，学校稳步发展，</w:t>
      </w:r>
      <w:r>
        <w:rPr>
          <w:rFonts w:hint="eastAsia" w:ascii="仿宋" w:hAnsi="仿宋" w:eastAsia="仿宋" w:cs="仿宋"/>
          <w:sz w:val="32"/>
          <w:szCs w:val="32"/>
          <w:highlight w:val="none"/>
          <w:lang w:val="en-US" w:eastAsia="zh-CN"/>
        </w:rPr>
        <w:t>其</w:t>
      </w:r>
      <w:r>
        <w:rPr>
          <w:rFonts w:hint="eastAsia" w:ascii="仿宋" w:hAnsi="仿宋" w:eastAsia="仿宋" w:cs="仿宋"/>
          <w:sz w:val="32"/>
          <w:szCs w:val="32"/>
          <w:highlight w:val="none"/>
        </w:rPr>
        <w:t>毕业班学生</w:t>
      </w:r>
      <w:r>
        <w:rPr>
          <w:rFonts w:hint="eastAsia" w:ascii="仿宋" w:hAnsi="仿宋" w:eastAsia="仿宋" w:cs="仿宋"/>
          <w:sz w:val="32"/>
          <w:szCs w:val="32"/>
          <w:highlight w:val="none"/>
          <w:lang w:val="en-US" w:eastAsia="zh-CN"/>
        </w:rPr>
        <w:t>实行</w:t>
      </w:r>
      <w:r>
        <w:rPr>
          <w:rFonts w:hint="eastAsia" w:ascii="仿宋" w:hAnsi="仿宋" w:eastAsia="仿宋" w:cs="仿宋"/>
          <w:sz w:val="32"/>
          <w:szCs w:val="32"/>
          <w:highlight w:val="none"/>
        </w:rPr>
        <w:t>就业和升学双向选择</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现在校生共计2148人。</w:t>
      </w:r>
    </w:p>
    <w:p w14:paraId="66E83309">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表1中等职业学校学生情况统计表</w:t>
      </w:r>
    </w:p>
    <w:tbl>
      <w:tblPr>
        <w:tblStyle w:val="5"/>
        <w:tblW w:w="84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80"/>
        <w:gridCol w:w="2415"/>
        <w:gridCol w:w="2145"/>
        <w:gridCol w:w="1080"/>
        <w:gridCol w:w="1080"/>
      </w:tblGrid>
      <w:tr w14:paraId="3B839C77">
        <w:trPr>
          <w:trHeight w:val="380" w:hRule="atLeast"/>
        </w:trPr>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BCDE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1.2</w:t>
            </w:r>
            <w:r>
              <w:rPr>
                <w:rStyle w:val="12"/>
                <w:lang w:val="en-US" w:eastAsia="zh-CN" w:bidi="ar"/>
              </w:rPr>
              <w:t>学生情况</w:t>
            </w:r>
          </w:p>
        </w:tc>
        <w:tc>
          <w:tcPr>
            <w:tcW w:w="2415" w:type="dxa"/>
            <w:tcBorders>
              <w:top w:val="single" w:color="000000" w:sz="8" w:space="0"/>
              <w:left w:val="nil"/>
              <w:bottom w:val="single" w:color="000000" w:sz="8" w:space="0"/>
              <w:right w:val="single" w:color="000000" w:sz="8" w:space="0"/>
            </w:tcBorders>
            <w:shd w:val="clear" w:color="auto" w:fill="auto"/>
            <w:vAlign w:val="top"/>
          </w:tcPr>
          <w:p w14:paraId="1AD1B654">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在校生规模（人）</w:t>
            </w:r>
          </w:p>
        </w:tc>
        <w:tc>
          <w:tcPr>
            <w:tcW w:w="4305" w:type="dxa"/>
            <w:gridSpan w:val="3"/>
            <w:tcBorders>
              <w:top w:val="single" w:color="000000" w:sz="8" w:space="0"/>
              <w:left w:val="single" w:color="000000" w:sz="8" w:space="0"/>
              <w:bottom w:val="single" w:color="000000" w:sz="8" w:space="0"/>
              <w:right w:val="single" w:color="000000" w:sz="8" w:space="0"/>
            </w:tcBorders>
            <w:shd w:val="clear" w:color="auto" w:fill="auto"/>
            <w:vAlign w:val="top"/>
          </w:tcPr>
          <w:p w14:paraId="5240BDBC">
            <w:pPr>
              <w:keepNext w:val="0"/>
              <w:keepLines w:val="0"/>
              <w:widowControl/>
              <w:suppressLineNumbers w:val="0"/>
              <w:jc w:val="center"/>
              <w:textAlignment w:val="top"/>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1062</w:t>
            </w:r>
          </w:p>
        </w:tc>
      </w:tr>
      <w:tr w14:paraId="33B6FBB0">
        <w:trPr>
          <w:trHeight w:val="38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F0BBB">
            <w:pPr>
              <w:jc w:val="center"/>
              <w:rPr>
                <w:rFonts w:hint="default" w:ascii="Times New Roman" w:hAnsi="Times New Roman" w:eastAsia="宋体" w:cs="Times New Roman"/>
                <w:b/>
                <w:bCs/>
                <w:i w:val="0"/>
                <w:iCs w:val="0"/>
                <w:color w:val="000000"/>
                <w:sz w:val="24"/>
                <w:szCs w:val="24"/>
                <w:u w:val="none"/>
              </w:rPr>
            </w:pPr>
          </w:p>
        </w:tc>
        <w:tc>
          <w:tcPr>
            <w:tcW w:w="2415" w:type="dxa"/>
            <w:tcBorders>
              <w:top w:val="nil"/>
              <w:left w:val="nil"/>
              <w:bottom w:val="single" w:color="000000" w:sz="8" w:space="0"/>
              <w:right w:val="single" w:color="000000" w:sz="8" w:space="0"/>
            </w:tcBorders>
            <w:shd w:val="clear" w:color="auto" w:fill="auto"/>
            <w:vAlign w:val="top"/>
          </w:tcPr>
          <w:p w14:paraId="4CD43605">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毕业生规模（人）</w:t>
            </w:r>
          </w:p>
        </w:tc>
        <w:tc>
          <w:tcPr>
            <w:tcW w:w="4305" w:type="dxa"/>
            <w:gridSpan w:val="3"/>
            <w:tcBorders>
              <w:top w:val="nil"/>
              <w:left w:val="single" w:color="000000" w:sz="8" w:space="0"/>
              <w:bottom w:val="single" w:color="000000" w:sz="8" w:space="0"/>
              <w:right w:val="single" w:color="000000" w:sz="8" w:space="0"/>
            </w:tcBorders>
            <w:shd w:val="clear" w:color="auto" w:fill="auto"/>
            <w:vAlign w:val="top"/>
          </w:tcPr>
          <w:p w14:paraId="338F22E1">
            <w:pPr>
              <w:keepNext w:val="0"/>
              <w:keepLines w:val="0"/>
              <w:widowControl/>
              <w:suppressLineNumbers w:val="0"/>
              <w:jc w:val="center"/>
              <w:textAlignment w:val="top"/>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1086</w:t>
            </w:r>
          </w:p>
        </w:tc>
      </w:tr>
      <w:tr w14:paraId="1A67B2D5">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5444B">
            <w:pPr>
              <w:jc w:val="center"/>
              <w:rPr>
                <w:rFonts w:hint="default" w:ascii="Times New Roman" w:hAnsi="Times New Roman" w:eastAsia="宋体" w:cs="Times New Roman"/>
                <w:b/>
                <w:bCs/>
                <w:i w:val="0"/>
                <w:iCs w:val="0"/>
                <w:color w:val="000000"/>
                <w:sz w:val="24"/>
                <w:szCs w:val="24"/>
                <w:u w:val="none"/>
              </w:rPr>
            </w:pPr>
          </w:p>
        </w:tc>
        <w:tc>
          <w:tcPr>
            <w:tcW w:w="2415" w:type="dxa"/>
            <w:vMerge w:val="restart"/>
            <w:tcBorders>
              <w:top w:val="nil"/>
              <w:left w:val="nil"/>
              <w:bottom w:val="single" w:color="000000" w:sz="8" w:space="0"/>
              <w:right w:val="single" w:color="000000" w:sz="8" w:space="0"/>
            </w:tcBorders>
            <w:shd w:val="clear" w:color="auto" w:fill="auto"/>
            <w:vAlign w:val="center"/>
          </w:tcPr>
          <w:p w14:paraId="690115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分专业在校生规模</w:t>
            </w:r>
          </w:p>
        </w:tc>
        <w:tc>
          <w:tcPr>
            <w:tcW w:w="2145" w:type="dxa"/>
            <w:tcBorders>
              <w:top w:val="nil"/>
              <w:left w:val="single" w:color="000000" w:sz="8" w:space="0"/>
              <w:bottom w:val="single" w:color="000000" w:sz="8" w:space="0"/>
              <w:right w:val="single" w:color="000000" w:sz="8" w:space="0"/>
            </w:tcBorders>
            <w:shd w:val="clear" w:color="auto" w:fill="auto"/>
            <w:vAlign w:val="top"/>
          </w:tcPr>
          <w:p w14:paraId="2D6D3ACC">
            <w:pPr>
              <w:keepNext w:val="0"/>
              <w:keepLines w:val="0"/>
              <w:widowControl/>
              <w:suppressLineNumbers w:val="0"/>
              <w:jc w:val="left"/>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专业名称</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top"/>
          </w:tcPr>
          <w:p w14:paraId="527BC0DB">
            <w:pPr>
              <w:keepNext w:val="0"/>
              <w:keepLines w:val="0"/>
              <w:widowControl/>
              <w:suppressLineNumbers w:val="0"/>
              <w:jc w:val="left"/>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2024</w:t>
            </w:r>
          </w:p>
        </w:tc>
        <w:tc>
          <w:tcPr>
            <w:tcW w:w="1080" w:type="dxa"/>
            <w:tcBorders>
              <w:top w:val="single" w:color="000000" w:sz="8" w:space="0"/>
              <w:left w:val="single" w:color="000000" w:sz="8" w:space="0"/>
              <w:bottom w:val="single" w:color="000000" w:sz="8" w:space="0"/>
              <w:right w:val="single" w:color="000000" w:sz="8" w:space="0"/>
            </w:tcBorders>
            <w:shd w:val="clear" w:color="auto" w:fill="auto"/>
            <w:vAlign w:val="top"/>
          </w:tcPr>
          <w:p w14:paraId="65D0B0B7">
            <w:pPr>
              <w:keepNext w:val="0"/>
              <w:keepLines w:val="0"/>
              <w:widowControl/>
              <w:suppressLineNumbers w:val="0"/>
              <w:jc w:val="left"/>
              <w:textAlignment w:val="top"/>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2025</w:t>
            </w:r>
            <w:r>
              <w:rPr>
                <w:rStyle w:val="12"/>
                <w:lang w:val="en-US" w:eastAsia="zh-CN" w:bidi="ar"/>
              </w:rPr>
              <w:t>年</w:t>
            </w:r>
          </w:p>
        </w:tc>
      </w:tr>
      <w:tr w14:paraId="7389CC23">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2BD03">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491D6ADA">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3980D28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供电专业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0C495EA">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352</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3776219A">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r w14:paraId="04A0281F">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D17E0">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31BF0622">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0D15840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测量专业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5536BAF">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C05B6F0">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w:t>
            </w:r>
          </w:p>
        </w:tc>
      </w:tr>
      <w:tr w14:paraId="01E93CF4">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64D92">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1FA04D62">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16348BF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75185301">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114</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E7A98CF">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r>
      <w:tr w14:paraId="6274D8EB">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FDB76">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2ABFB906">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49E57860">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机电专业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3331FA3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148</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5FEC917">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268</w:t>
            </w:r>
          </w:p>
        </w:tc>
      </w:tr>
      <w:tr w14:paraId="19F90A65">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90A17">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45390C9C">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6007411F">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内燃机专业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3A10550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347</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447D926">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w:t>
            </w:r>
          </w:p>
        </w:tc>
      </w:tr>
      <w:tr w14:paraId="330C2476">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19B22">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4EBEACD7">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5089B64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运输运营专业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03C4944">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B25968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209</w:t>
            </w:r>
          </w:p>
        </w:tc>
      </w:tr>
      <w:tr w14:paraId="13D6DAB7">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A8623">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29937F18">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1211271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计算机专业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B5BCB4B">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52BD8F61">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w:t>
            </w:r>
          </w:p>
        </w:tc>
      </w:tr>
      <w:tr w14:paraId="4538FACD">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CBE01">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2018CBBD">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7C373B1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电子商务</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7A458EC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165</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154D66C">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r>
      <w:tr w14:paraId="74FC1731">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56409">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592158C2">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57B3597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信号专业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D7746E7">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445</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BB824E6">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r>
      <w:tr w14:paraId="116B8C87">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31383">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54E7BD78">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7D999F39">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航空服务</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F702743">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0EDB3BEC">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r>
      <w:tr w14:paraId="0AFD21C2">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ACD21">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031D2A9C">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65BDEB74">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新能源装备运行</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3D6258D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BCE694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r>
      <w:tr w14:paraId="1804CB9F">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19881">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4847BB5F">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4C7134F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无人机操控与维护</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701CEBA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D53881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44B22CBF">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EBFFD">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50F2D7BE">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0CFAF89C">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卫生信息管理</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536686F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0763773F">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0A2694A5">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D6649">
            <w:pPr>
              <w:jc w:val="center"/>
              <w:rPr>
                <w:rFonts w:hint="default" w:ascii="Times New Roman" w:hAnsi="Times New Roman" w:eastAsia="宋体" w:cs="Times New Roman"/>
                <w:b/>
                <w:bCs/>
                <w:i w:val="0"/>
                <w:iCs w:val="0"/>
                <w:color w:val="000000"/>
                <w:sz w:val="24"/>
                <w:szCs w:val="24"/>
                <w:u w:val="none"/>
              </w:rPr>
            </w:pPr>
          </w:p>
        </w:tc>
        <w:tc>
          <w:tcPr>
            <w:tcW w:w="2415" w:type="dxa"/>
            <w:vMerge w:val="restart"/>
            <w:tcBorders>
              <w:top w:val="nil"/>
              <w:left w:val="nil"/>
              <w:bottom w:val="single" w:color="000000" w:sz="8" w:space="0"/>
              <w:right w:val="single" w:color="000000" w:sz="8" w:space="0"/>
            </w:tcBorders>
            <w:shd w:val="clear" w:color="auto" w:fill="auto"/>
            <w:vAlign w:val="center"/>
          </w:tcPr>
          <w:p w14:paraId="4EB453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毕业生规模</w:t>
            </w:r>
          </w:p>
        </w:tc>
        <w:tc>
          <w:tcPr>
            <w:tcW w:w="2145" w:type="dxa"/>
            <w:tcBorders>
              <w:top w:val="nil"/>
              <w:left w:val="single" w:color="000000" w:sz="8" w:space="0"/>
              <w:bottom w:val="single" w:color="000000" w:sz="8" w:space="0"/>
              <w:right w:val="single" w:color="000000" w:sz="8" w:space="0"/>
            </w:tcBorders>
            <w:shd w:val="clear" w:color="auto" w:fill="auto"/>
            <w:vAlign w:val="top"/>
          </w:tcPr>
          <w:p w14:paraId="45D0EAE8">
            <w:pPr>
              <w:keepNext w:val="0"/>
              <w:keepLines w:val="0"/>
              <w:widowControl/>
              <w:suppressLineNumbers w:val="0"/>
              <w:jc w:val="left"/>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专业名称</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1392D407">
            <w:pPr>
              <w:keepNext w:val="0"/>
              <w:keepLines w:val="0"/>
              <w:widowControl/>
              <w:suppressLineNumbers w:val="0"/>
              <w:jc w:val="left"/>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2024</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341B746C">
            <w:pPr>
              <w:keepNext w:val="0"/>
              <w:keepLines w:val="0"/>
              <w:widowControl/>
              <w:suppressLineNumbers w:val="0"/>
              <w:jc w:val="left"/>
              <w:textAlignment w:val="top"/>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2025</w:t>
            </w:r>
            <w:r>
              <w:rPr>
                <w:rStyle w:val="12"/>
                <w:lang w:val="en-US" w:eastAsia="zh-CN" w:bidi="ar"/>
              </w:rPr>
              <w:t>年</w:t>
            </w:r>
          </w:p>
        </w:tc>
      </w:tr>
      <w:tr w14:paraId="573BF4DE">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7EB7C">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3AD81DFD">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6D31AEC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电子商务</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E7C58E2">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68</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05BDE6C3">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r>
      <w:tr w14:paraId="644A9FDC">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B62EE">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3FBBF0C0">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66C4D405">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信号专业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041E0AC">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135</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8262646">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14:paraId="12472205">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08D81">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1D574C11">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20FAAD8D">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工业机器人</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990084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457F115">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10CA07C1">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CB769">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0B3A0119">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1C0F9E1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运输运营专业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11C88DD9">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260</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105715F7">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w:t>
            </w:r>
          </w:p>
        </w:tc>
      </w:tr>
      <w:tr w14:paraId="1A26DDAB">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70038">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0FEF58B0">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152AFBD7">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内燃机专业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7B6B9F80">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414</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1DF35BEF">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184</w:t>
            </w:r>
          </w:p>
        </w:tc>
      </w:tr>
      <w:tr w14:paraId="775413A6">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1BDFA">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210103AF">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498FD25A">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机电专业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626E5FD8">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0676DEE">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238</w:t>
            </w:r>
          </w:p>
        </w:tc>
      </w:tr>
      <w:tr w14:paraId="55766D8F">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9F7CD">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40D79D80">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49093A2A">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74739292">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213</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274E7288">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p>
        </w:tc>
      </w:tr>
      <w:tr w14:paraId="12BCB3E8">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B554E">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6984B3F0">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121E0202">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测量专业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C7AD558">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4BB0E9CD">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w:t>
            </w:r>
          </w:p>
        </w:tc>
      </w:tr>
      <w:tr w14:paraId="0B6D9549">
        <w:trPr>
          <w:trHeight w:val="330" w:hRule="atLeast"/>
        </w:trPr>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03308">
            <w:pPr>
              <w:jc w:val="center"/>
              <w:rPr>
                <w:rFonts w:hint="default" w:ascii="Times New Roman" w:hAnsi="Times New Roman" w:eastAsia="宋体" w:cs="Times New Roman"/>
                <w:b/>
                <w:bCs/>
                <w:i w:val="0"/>
                <w:iCs w:val="0"/>
                <w:color w:val="000000"/>
                <w:sz w:val="24"/>
                <w:szCs w:val="24"/>
                <w:u w:val="none"/>
              </w:rPr>
            </w:pPr>
          </w:p>
        </w:tc>
        <w:tc>
          <w:tcPr>
            <w:tcW w:w="2415" w:type="dxa"/>
            <w:vMerge w:val="continue"/>
            <w:tcBorders>
              <w:top w:val="nil"/>
              <w:left w:val="nil"/>
              <w:bottom w:val="single" w:color="000000" w:sz="8" w:space="0"/>
              <w:right w:val="single" w:color="000000" w:sz="8" w:space="0"/>
            </w:tcBorders>
            <w:shd w:val="clear" w:color="auto" w:fill="auto"/>
            <w:vAlign w:val="center"/>
          </w:tcPr>
          <w:p w14:paraId="2A36F1B1">
            <w:pPr>
              <w:jc w:val="center"/>
              <w:rPr>
                <w:rFonts w:hint="eastAsia" w:ascii="仿宋" w:hAnsi="仿宋" w:eastAsia="仿宋" w:cs="仿宋"/>
                <w:i w:val="0"/>
                <w:iCs w:val="0"/>
                <w:color w:val="000000"/>
                <w:sz w:val="24"/>
                <w:szCs w:val="24"/>
                <w:u w:val="none"/>
              </w:rPr>
            </w:pPr>
          </w:p>
        </w:tc>
        <w:tc>
          <w:tcPr>
            <w:tcW w:w="2145" w:type="dxa"/>
            <w:tcBorders>
              <w:top w:val="nil"/>
              <w:left w:val="single" w:color="000000" w:sz="8" w:space="0"/>
              <w:bottom w:val="single" w:color="000000" w:sz="8" w:space="0"/>
              <w:right w:val="single" w:color="000000" w:sz="8" w:space="0"/>
            </w:tcBorders>
            <w:shd w:val="clear" w:color="auto" w:fill="auto"/>
            <w:vAlign w:val="top"/>
          </w:tcPr>
          <w:p w14:paraId="6D109C4B">
            <w:pPr>
              <w:keepNext w:val="0"/>
              <w:keepLines w:val="0"/>
              <w:widowControl/>
              <w:suppressLineNumbers w:val="0"/>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供电专业</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07C1B828">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116</w:t>
            </w:r>
          </w:p>
        </w:tc>
        <w:tc>
          <w:tcPr>
            <w:tcW w:w="1080" w:type="dxa"/>
            <w:tcBorders>
              <w:top w:val="nil"/>
              <w:left w:val="single" w:color="000000" w:sz="8" w:space="0"/>
              <w:bottom w:val="single" w:color="000000" w:sz="8" w:space="0"/>
              <w:right w:val="single" w:color="000000" w:sz="8" w:space="0"/>
            </w:tcBorders>
            <w:shd w:val="clear" w:color="auto" w:fill="auto"/>
            <w:vAlign w:val="top"/>
          </w:tcPr>
          <w:p w14:paraId="17D75105">
            <w:pPr>
              <w:keepNext w:val="0"/>
              <w:keepLines w:val="0"/>
              <w:widowControl/>
              <w:suppressLineNumbers w:val="0"/>
              <w:jc w:val="left"/>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232</w:t>
            </w:r>
          </w:p>
        </w:tc>
      </w:tr>
    </w:tbl>
    <w:p w14:paraId="3D9ABA37">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1.3教师队伍</w:t>
      </w:r>
    </w:p>
    <w:p w14:paraId="7B9791A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教职工总数121人，专任教师108人，师生比达到1：19。学校具有基础课教师50人，专业课教师58人，专业课教师占全校专任教师数的54%。双师型教师30人，占全校专业课教师数的51%。具有高级专业技术职务教师19人，占全校专任教师数的18%。本科及以上学历教师共89人，具有硕士研究生学历或学位的教师共15人，占全校专任教师数的14%。</w:t>
      </w:r>
    </w:p>
    <w:p w14:paraId="7B834AE7">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表2中等职业学校教师队伍情况统计表</w:t>
      </w:r>
    </w:p>
    <w:tbl>
      <w:tblPr>
        <w:tblStyle w:val="5"/>
        <w:tblW w:w="85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7"/>
        <w:gridCol w:w="4822"/>
        <w:gridCol w:w="1197"/>
        <w:gridCol w:w="1363"/>
      </w:tblGrid>
      <w:tr w14:paraId="6C53C363">
        <w:trPr>
          <w:trHeight w:val="416" w:hRule="atLeast"/>
        </w:trPr>
        <w:tc>
          <w:tcPr>
            <w:tcW w:w="11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FC9DA">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1.3教师队伍</w:t>
            </w: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6FFF4BEB">
            <w:pPr>
              <w:keepNext w:val="0"/>
              <w:keepLines w:val="0"/>
              <w:widowControl/>
              <w:suppressLineNumbers w:val="0"/>
              <w:jc w:val="both"/>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EAF4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2024年</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B9A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2025年</w:t>
            </w:r>
          </w:p>
        </w:tc>
      </w:tr>
      <w:tr w14:paraId="7AE2F430">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72661">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4C120942">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教职员工额定编制数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B9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2B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r>
      <w:tr w14:paraId="378D3628">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766B8">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787519A8">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教职员工总数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5B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3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r>
      <w:tr w14:paraId="20C5F902">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27E17">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30480CDA">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专任教师数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4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E2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r>
      <w:tr w14:paraId="64A9A1DC">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2ED44">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62604310">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专业教师数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C4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39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r>
      <w:tr w14:paraId="54DFA45E">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8BD8B">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2D6B14F1">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“双师”型教师总数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C3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B5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14:paraId="5067F054">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93C34">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23251C9F">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兼职教师比例</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84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71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r>
      <w:tr w14:paraId="39250F0F">
        <w:trPr>
          <w:trHeight w:val="416"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E6898">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0C861DD2">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硕士研究生及以上学历专任教师人数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77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4A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47DD8F71">
        <w:trPr>
          <w:trHeight w:val="428" w:hRule="atLeast"/>
        </w:trPr>
        <w:tc>
          <w:tcPr>
            <w:tcW w:w="11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4FD09">
            <w:pPr>
              <w:jc w:val="center"/>
              <w:rPr>
                <w:rFonts w:hint="eastAsia" w:ascii="仿宋" w:hAnsi="仿宋" w:eastAsia="仿宋" w:cs="仿宋"/>
                <w:b/>
                <w:bCs/>
                <w:i w:val="0"/>
                <w:iCs w:val="0"/>
                <w:color w:val="000000"/>
                <w:sz w:val="24"/>
                <w:szCs w:val="24"/>
                <w:u w:val="none"/>
              </w:rPr>
            </w:pPr>
          </w:p>
        </w:tc>
        <w:tc>
          <w:tcPr>
            <w:tcW w:w="4822" w:type="dxa"/>
            <w:tcBorders>
              <w:top w:val="single" w:color="000000" w:sz="4" w:space="0"/>
              <w:left w:val="single" w:color="000000" w:sz="4" w:space="0"/>
              <w:bottom w:val="single" w:color="000000" w:sz="4" w:space="0"/>
              <w:right w:val="single" w:color="000000" w:sz="4" w:space="0"/>
            </w:tcBorders>
            <w:shd w:val="clear" w:color="auto" w:fill="auto"/>
            <w:vAlign w:val="top"/>
          </w:tcPr>
          <w:p w14:paraId="50A091F2">
            <w:pPr>
              <w:keepNext w:val="0"/>
              <w:keepLines w:val="0"/>
              <w:widowControl/>
              <w:suppressLineNumbers w:val="0"/>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高级专业技术职务专任教师人数</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07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D3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r>
    </w:tbl>
    <w:p w14:paraId="1532EF9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根据学校五年发展规划的总体要求，结合学校现阶段师资队伍建设现况以及教学和专业建设的需要，</w:t>
      </w:r>
      <w:r>
        <w:rPr>
          <w:rFonts w:hint="eastAsia" w:ascii="仿宋" w:hAnsi="仿宋" w:eastAsia="仿宋" w:cs="仿宋"/>
          <w:sz w:val="32"/>
          <w:szCs w:val="32"/>
          <w:highlight w:val="none"/>
          <w:lang w:val="en-US" w:eastAsia="zh-CN"/>
        </w:rPr>
        <w:t>我校</w:t>
      </w:r>
      <w:r>
        <w:rPr>
          <w:rFonts w:hint="eastAsia" w:ascii="仿宋" w:hAnsi="仿宋" w:eastAsia="仿宋" w:cs="仿宋"/>
          <w:sz w:val="32"/>
          <w:szCs w:val="32"/>
          <w:highlight w:val="none"/>
        </w:rPr>
        <w:t>围绕“建设特色鲜明的示范性职业</w:t>
      </w:r>
      <w:r>
        <w:rPr>
          <w:rFonts w:hint="eastAsia" w:ascii="仿宋" w:hAnsi="仿宋" w:eastAsia="仿宋" w:cs="仿宋"/>
          <w:sz w:val="32"/>
          <w:szCs w:val="32"/>
          <w:highlight w:val="none"/>
          <w:lang w:val="en-US" w:eastAsia="zh-CN"/>
        </w:rPr>
        <w:t>高中</w:t>
      </w:r>
      <w:r>
        <w:rPr>
          <w:rFonts w:hint="eastAsia" w:ascii="仿宋" w:hAnsi="仿宋" w:eastAsia="仿宋" w:cs="仿宋"/>
          <w:sz w:val="32"/>
          <w:szCs w:val="32"/>
          <w:highlight w:val="none"/>
        </w:rPr>
        <w:t>”这一战略目标，以提升师资队伍能力水平为核心，以培育双师素质教师为重点，以创建双师素质专业（课程）教学团队为目标，努力建设一支适应学校教育改革与发展需要，素质优良、结构合理的师资队伍。</w:t>
      </w:r>
    </w:p>
    <w:p w14:paraId="0743FB47">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1.4设施设备</w:t>
      </w:r>
    </w:p>
    <w:p w14:paraId="283F500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学校占地面积126873㎡，生均占地面积59.06㎡、建筑面积55921㎡，生均建筑面积26.03㎡。学校建有</w:t>
      </w:r>
      <w:r>
        <w:rPr>
          <w:rFonts w:hint="eastAsia" w:ascii="仿宋" w:hAnsi="仿宋" w:eastAsia="仿宋" w:cs="仿宋"/>
          <w:sz w:val="32"/>
          <w:szCs w:val="32"/>
          <w:highlight w:val="none"/>
          <w:lang w:val="en-US" w:eastAsia="zh-CN"/>
        </w:rPr>
        <w:t>标准</w:t>
      </w:r>
      <w:r>
        <w:rPr>
          <w:rFonts w:hint="eastAsia" w:ascii="仿宋" w:hAnsi="仿宋" w:eastAsia="仿宋" w:cs="仿宋"/>
          <w:sz w:val="32"/>
          <w:szCs w:val="32"/>
          <w:highlight w:val="none"/>
        </w:rPr>
        <w:t>环形跑道，体育设施及器材能满足体育教学需要，卫生保健、生活设施设备符合《学校卫生工作条例》的基本要求，配有学生体质健康标准测试设备。图书馆、阅览室管理制度齐全。阅览室提供期刊、报纸、书桌供师生阅读使用；图书馆有22个大类，图书馆纸质图书共计98200册，报刊种类158种，其中专业图书和报刊占到50%。现有电气化铁道供电、综合实训场、电工实训室、车辆实训场、微机室、形体实训房等，实习设施和仪器设备与专业设置匹配，能够满足教学要求，生均仪器设备价值3427元。校园网带宽150M，支持流畅访问各级教学平台，网络安防健全；教学场所配备必要的多媒体设备，学生用计算机达1台/6人，教师用计算机达1台/1人</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全面保障信息化教学与实践教学需求</w:t>
      </w:r>
      <w:r>
        <w:rPr>
          <w:rFonts w:hint="eastAsia" w:ascii="仿宋" w:hAnsi="仿宋" w:eastAsia="仿宋" w:cs="仿宋"/>
          <w:sz w:val="32"/>
          <w:szCs w:val="32"/>
          <w:highlight w:val="none"/>
          <w:lang w:eastAsia="zh-CN"/>
        </w:rPr>
        <w:t>。</w:t>
      </w:r>
    </w:p>
    <w:p w14:paraId="548B54D2">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p>
    <w:p w14:paraId="15023693">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p>
    <w:p w14:paraId="4DA7B2B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p>
    <w:p w14:paraId="1433CC80">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表3中等职业学校设施设备情况统计表</w:t>
      </w:r>
    </w:p>
    <w:tbl>
      <w:tblPr>
        <w:tblStyle w:val="5"/>
        <w:tblW w:w="84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1"/>
        <w:gridCol w:w="2779"/>
        <w:gridCol w:w="1097"/>
        <w:gridCol w:w="1112"/>
        <w:gridCol w:w="2239"/>
      </w:tblGrid>
      <w:tr w14:paraId="47FF36BB">
        <w:trPr>
          <w:trHeight w:val="475" w:hRule="atLeast"/>
        </w:trPr>
        <w:tc>
          <w:tcPr>
            <w:tcW w:w="11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91F5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24"/>
                <w:szCs w:val="24"/>
                <w:highlight w:val="none"/>
                <w:u w:val="none"/>
                <w:lang w:val="en-US" w:eastAsia="zh-CN" w:bidi="ar"/>
              </w:rPr>
              <w:t>1.4</w:t>
            </w:r>
            <w:r>
              <w:rPr>
                <w:rStyle w:val="10"/>
                <w:sz w:val="24"/>
                <w:szCs w:val="24"/>
                <w:highlight w:val="none"/>
                <w:lang w:val="en-US" w:eastAsia="zh-CN" w:bidi="ar"/>
              </w:rPr>
              <w:t>设施设备</w:t>
            </w: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43E72FB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项目</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BE2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2024</w:t>
            </w:r>
            <w:r>
              <w:rPr>
                <w:rStyle w:val="10"/>
                <w:sz w:val="21"/>
                <w:szCs w:val="21"/>
                <w:highlight w:val="none"/>
                <w:lang w:val="en-US" w:eastAsia="zh-CN" w:bidi="ar"/>
              </w:rPr>
              <w:t>年</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EEA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2025</w:t>
            </w:r>
            <w:r>
              <w:rPr>
                <w:rStyle w:val="10"/>
                <w:sz w:val="21"/>
                <w:szCs w:val="21"/>
                <w:highlight w:val="none"/>
                <w:lang w:val="en-US" w:eastAsia="zh-CN" w:bidi="ar"/>
              </w:rPr>
              <w:t>年</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1AE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以上一年相比</w:t>
            </w:r>
          </w:p>
        </w:tc>
      </w:tr>
      <w:tr w14:paraId="2887D81B">
        <w:trPr>
          <w:trHeight w:val="295" w:hRule="atLeast"/>
        </w:trPr>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8CC76">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宋体" w:cs="Times New Roman"/>
                <w:b/>
                <w:bCs/>
                <w:i w:val="0"/>
                <w:iCs w:val="0"/>
                <w:color w:val="000000"/>
                <w:sz w:val="18"/>
                <w:szCs w:val="18"/>
                <w:highlight w:val="none"/>
                <w:u w:val="none"/>
              </w:rPr>
            </w:pP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1F440D5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生均校园占地面积</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3DF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58.84</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B12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59.06</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top"/>
          </w:tcPr>
          <w:p w14:paraId="09293FEE">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增加0.22</w:t>
            </w:r>
          </w:p>
        </w:tc>
      </w:tr>
      <w:tr w14:paraId="05FDDFD3">
        <w:trPr>
          <w:trHeight w:val="326" w:hRule="atLeast"/>
        </w:trPr>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7F6ED">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宋体" w:cs="Times New Roman"/>
                <w:b/>
                <w:bCs/>
                <w:i w:val="0"/>
                <w:iCs w:val="0"/>
                <w:color w:val="000000"/>
                <w:sz w:val="18"/>
                <w:szCs w:val="18"/>
                <w:highlight w:val="none"/>
                <w:u w:val="none"/>
              </w:rPr>
            </w:pP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3CA1934E">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生均校舍建筑面积</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0B6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25.93</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760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26.03</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top"/>
          </w:tcPr>
          <w:p w14:paraId="1D6FB36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增加0.10</w:t>
            </w:r>
          </w:p>
        </w:tc>
      </w:tr>
      <w:tr w14:paraId="4B0455AA">
        <w:trPr>
          <w:trHeight w:val="326" w:hRule="atLeast"/>
        </w:trPr>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FABA8">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宋体" w:cs="Times New Roman"/>
                <w:b/>
                <w:bCs/>
                <w:i w:val="0"/>
                <w:iCs w:val="0"/>
                <w:color w:val="000000"/>
                <w:sz w:val="18"/>
                <w:szCs w:val="18"/>
                <w:highlight w:val="none"/>
                <w:u w:val="none"/>
              </w:rPr>
            </w:pP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141BA2AD">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生均教学设备值（万元）</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1F0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3427</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13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3439</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top"/>
          </w:tcPr>
          <w:p w14:paraId="0013AA94">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增加</w:t>
            </w:r>
            <w:r>
              <w:rPr>
                <w:rStyle w:val="11"/>
                <w:rFonts w:eastAsia="仿宋"/>
                <w:sz w:val="22"/>
                <w:szCs w:val="22"/>
                <w:highlight w:val="none"/>
                <w:lang w:val="en-US" w:eastAsia="zh-CN" w:bidi="ar"/>
              </w:rPr>
              <w:t>12</w:t>
            </w:r>
          </w:p>
        </w:tc>
      </w:tr>
      <w:tr w14:paraId="76D4D290">
        <w:trPr>
          <w:trHeight w:val="326" w:hRule="atLeast"/>
        </w:trPr>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BBC10">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宋体" w:cs="Times New Roman"/>
                <w:b/>
                <w:bCs/>
                <w:i w:val="0"/>
                <w:iCs w:val="0"/>
                <w:color w:val="000000"/>
                <w:sz w:val="18"/>
                <w:szCs w:val="18"/>
                <w:highlight w:val="none"/>
                <w:u w:val="none"/>
              </w:rPr>
            </w:pP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4F3E191B">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生均纸质图书数量（本）</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CD0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45.5</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51B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45.5</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918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无</w:t>
            </w:r>
          </w:p>
        </w:tc>
      </w:tr>
      <w:tr w14:paraId="7FD035DE">
        <w:trPr>
          <w:trHeight w:val="336" w:hRule="atLeast"/>
        </w:trPr>
        <w:tc>
          <w:tcPr>
            <w:tcW w:w="11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BF4B">
            <w:pPr>
              <w:keepNext w:val="0"/>
              <w:keepLines w:val="0"/>
              <w:pageBreakBefore w:val="0"/>
              <w:kinsoku/>
              <w:wordWrap/>
              <w:overflowPunct/>
              <w:topLinePunct w:val="0"/>
              <w:autoSpaceDE/>
              <w:autoSpaceDN/>
              <w:bidi w:val="0"/>
              <w:adjustRightInd/>
              <w:snapToGrid/>
              <w:spacing w:line="560" w:lineRule="exact"/>
              <w:jc w:val="center"/>
              <w:rPr>
                <w:rFonts w:hint="default" w:ascii="Times New Roman" w:hAnsi="Times New Roman" w:eastAsia="宋体" w:cs="Times New Roman"/>
                <w:b/>
                <w:bCs/>
                <w:i w:val="0"/>
                <w:iCs w:val="0"/>
                <w:color w:val="000000"/>
                <w:sz w:val="18"/>
                <w:szCs w:val="18"/>
                <w:highlight w:val="none"/>
                <w:u w:val="none"/>
              </w:rPr>
            </w:pPr>
          </w:p>
        </w:tc>
        <w:tc>
          <w:tcPr>
            <w:tcW w:w="2779" w:type="dxa"/>
            <w:tcBorders>
              <w:top w:val="single" w:color="000000" w:sz="4" w:space="0"/>
              <w:left w:val="single" w:color="000000" w:sz="4" w:space="0"/>
              <w:bottom w:val="single" w:color="000000" w:sz="4" w:space="0"/>
              <w:right w:val="single" w:color="000000" w:sz="4" w:space="0"/>
            </w:tcBorders>
            <w:shd w:val="clear" w:color="auto" w:fill="auto"/>
            <w:vAlign w:val="top"/>
          </w:tcPr>
          <w:p w14:paraId="44C6F9FA">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实习实训室数量</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89C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w:t>
            </w:r>
          </w:p>
        </w:tc>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FEE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bidi="ar"/>
              </w:rPr>
              <w:t>6</w:t>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top"/>
          </w:tcPr>
          <w:p w14:paraId="5CFFF5E9">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无</w:t>
            </w:r>
          </w:p>
        </w:tc>
      </w:tr>
    </w:tbl>
    <w:p w14:paraId="0BC45CDB">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2、人才培养</w:t>
      </w:r>
    </w:p>
    <w:p w14:paraId="5BE7E3A5">
      <w:pPr>
        <w:keepNext w:val="0"/>
        <w:keepLines w:val="0"/>
        <w:pageBreakBefore w:val="0"/>
        <w:kinsoku/>
        <w:wordWrap/>
        <w:overflowPunct/>
        <w:topLinePunct w:val="0"/>
        <w:autoSpaceDE/>
        <w:autoSpaceDN/>
        <w:bidi w:val="0"/>
        <w:adjustRightInd/>
        <w:snapToGrid/>
        <w:spacing w:line="560" w:lineRule="exact"/>
        <w:ind w:firstLine="960" w:firstLineChars="300"/>
        <w:rPr>
          <w:rFonts w:hint="eastAsia" w:ascii="仿宋" w:hAnsi="仿宋" w:eastAsia="仿宋" w:cs="仿宋"/>
          <w:sz w:val="32"/>
          <w:szCs w:val="32"/>
          <w:highlight w:val="none"/>
        </w:rPr>
      </w:pPr>
      <w:r>
        <w:rPr>
          <w:rFonts w:hint="eastAsia" w:ascii="仿宋" w:hAnsi="仿宋" w:eastAsia="仿宋" w:cs="仿宋"/>
          <w:sz w:val="32"/>
          <w:szCs w:val="32"/>
          <w:highlight w:val="none"/>
        </w:rPr>
        <w:t>本学年，学校始终将人才培养作为中心工作，坚守为党育人、为国育才</w:t>
      </w:r>
      <w:r>
        <w:rPr>
          <w:rFonts w:hint="eastAsia" w:ascii="仿宋" w:hAnsi="仿宋" w:eastAsia="仿宋" w:cs="仿宋"/>
          <w:sz w:val="32"/>
          <w:szCs w:val="32"/>
          <w:highlight w:val="none"/>
          <w:lang w:val="en-US" w:eastAsia="zh-CN"/>
        </w:rPr>
        <w:t>的</w:t>
      </w:r>
      <w:r>
        <w:rPr>
          <w:rFonts w:hint="eastAsia" w:ascii="仿宋" w:hAnsi="仿宋" w:eastAsia="仿宋" w:cs="仿宋"/>
          <w:sz w:val="32"/>
          <w:szCs w:val="32"/>
          <w:highlight w:val="none"/>
        </w:rPr>
        <w:t>初心使命，全面落实立德树人根本任务。紧密对接交通行业数字化、智能化升级趋势，深化教育教学改革，构建“三全育人”新格局，着力培养德智体美劳全面发展、具有扎实技术技能基础和良好职业素养的新时代铁路工匠。</w:t>
      </w:r>
      <w:r>
        <w:rPr>
          <w:rFonts w:hint="eastAsia" w:ascii="仿宋" w:hAnsi="仿宋" w:eastAsia="仿宋" w:cs="仿宋"/>
          <w:sz w:val="32"/>
          <w:szCs w:val="32"/>
          <w:highlight w:val="none"/>
          <w:lang w:val="en-US" w:eastAsia="zh-CN"/>
        </w:rPr>
        <w:t>本</w:t>
      </w:r>
      <w:r>
        <w:rPr>
          <w:rFonts w:hint="eastAsia" w:ascii="仿宋" w:hAnsi="仿宋" w:eastAsia="仿宋" w:cs="仿宋"/>
          <w:sz w:val="32"/>
          <w:szCs w:val="32"/>
          <w:highlight w:val="none"/>
        </w:rPr>
        <w:t>年度内，学生在各级各类技能大赛、文明风采活动中获奖数量与等级均创历史新高，毕业生就业质量稳步</w:t>
      </w:r>
      <w:r>
        <w:rPr>
          <w:rFonts w:hint="eastAsia" w:ascii="仿宋" w:hAnsi="仿宋" w:eastAsia="仿宋" w:cs="仿宋"/>
          <w:sz w:val="32"/>
          <w:szCs w:val="32"/>
          <w:highlight w:val="none"/>
          <w:lang w:eastAsia="zh-CN"/>
        </w:rPr>
        <w:t>提升</w:t>
      </w:r>
      <w:r>
        <w:rPr>
          <w:rFonts w:hint="eastAsia" w:ascii="仿宋" w:hAnsi="仿宋" w:eastAsia="仿宋" w:cs="仿宋"/>
          <w:sz w:val="32"/>
          <w:szCs w:val="32"/>
          <w:highlight w:val="none"/>
        </w:rPr>
        <w:t>。</w:t>
      </w:r>
    </w:p>
    <w:p w14:paraId="0C207D38">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2.1学生发展</w:t>
      </w:r>
    </w:p>
    <w:p w14:paraId="4B65795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2.1.1党建引领</w:t>
      </w:r>
    </w:p>
    <w:p w14:paraId="6AF5E03C">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高举中国特色社会主义伟大旗帜，以习近平新时代中国特色社会主义思想为指导，深入贯彻党的二十大精神，全面落实习近平总书记关于教育的重要论述，认真落实全国、全省教育大会精神，坚定不移贯彻发展理念，坚持和加强党对教育工作的全面领导，全面贯彻党的教育方针，以立德树人为根本任务，坚持教育公益性原则，以推动高质量发展为主题，以办好人民满意教育为宗旨，为建设现代化经济强省、美丽河北作出更大贡献，培养中国特色社会主义建设者和接班人。</w:t>
      </w:r>
    </w:p>
    <w:p w14:paraId="09942E5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坚持中国共产党领导，以习近平新时代中国特色社会主义思想为指导，全面贯彻党的教育方针和有关政策，把党组织建设纳入学校章程。坚持社会主义办学方向，落实立德树人根本任务，实行党组织领导的校长负责制，遵循全新的教育理念，创建特色专业；努力提高教育教学质量和办学效益；认真培养德、智、体、美全面发展的复合型人才。学校充分发挥了党组织的政治核心作用，学校党支部与理事会“双向进入、交叉任职”，党支部书记通过法定程序进入学校理事会、党员校长、副校长等行政机构成员按照党的有关规定进入党组织领导班子。</w:t>
      </w:r>
    </w:p>
    <w:p w14:paraId="35F3AD6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学校专门设立党办室，现有党员 </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 xml:space="preserve"> 人，配备 1 名兼职党务工作人员，从事党的组织、宣传、纪检等方面工作。全面落实党建经费、活动场所等方面的保障机制，党组织活动经费列入学校年度经费预算，党组织活动开展有序有效。坚持“三会一课”制度，结合学校实际，宣传一个好事迹、开展一项好活动、培养一批好典型、建设一个好支部，大力营造“立足岗位创先进，履职尽责争优秀”的良好氛围。做到有方案、有主题、有发言材料，有活动布置，有签到、有记录、有影像资料、有总结、有特色。做到按时举行，</w:t>
      </w:r>
      <w:r>
        <w:rPr>
          <w:rFonts w:hint="eastAsia" w:ascii="仿宋" w:hAnsi="仿宋" w:eastAsia="仿宋" w:cs="仿宋"/>
          <w:sz w:val="32"/>
          <w:szCs w:val="32"/>
          <w:highlight w:val="none"/>
          <w:lang w:val="en-US" w:eastAsia="zh-CN"/>
        </w:rPr>
        <w:t>全员</w:t>
      </w:r>
      <w:r>
        <w:rPr>
          <w:rFonts w:hint="eastAsia" w:ascii="仿宋" w:hAnsi="仿宋" w:eastAsia="仿宋" w:cs="仿宋"/>
          <w:sz w:val="32"/>
          <w:szCs w:val="32"/>
          <w:highlight w:val="none"/>
        </w:rPr>
        <w:t>参与，联系实际，注重实效。</w:t>
      </w:r>
    </w:p>
    <w:p w14:paraId="45AF2EE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党组织发挥战斗堡垒作用，强化思想引领，学校党支部领导学校思想政治工作。推动习近平新时代中国特色社会主义思想进校园进课堂进头脑，抓好学生德育工作，把思想政治教育融入学生学习生活各环节，促进全员全过程全方位育人，巩固学校思想文化和意识形态阵地。学校党支部坚持以习近平新时代中国特色社会主义思想统领学校的各项工作，每周组织党员教师进行政治学习，强化“四个意识”，坚定“四个自信”，加强广大教职工队伍的师德师风建设和思想政治工作队伍建设。强调学校每个教职工都是德育工作者的理念。在教育教学过程中，要求全体教师必须以身作则，树立良好的道德品格和行为习惯，凡要求学生做到的，老师先做到，切实履行正人先正己的工作原则。在教师队伍中认真贯彻两个忠诚：忠诚党的教育事业，为党育人，为国育才。忠诚学生家长，人民就是江山。积极开展进班就是责任，关心就是育人的工作理念。通过开展这些活动，提高了学生的德育教育工作质量，为教育教学工作的开展打下了坚实的基础。</w:t>
      </w:r>
    </w:p>
    <w:p w14:paraId="41D00F90">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学校大力建立健全党组织参与决策和监督制度。涉及党的建设、思想政治工作，</w:t>
      </w:r>
      <w:r>
        <w:rPr>
          <w:rFonts w:hint="eastAsia" w:ascii="仿宋" w:hAnsi="仿宋" w:eastAsia="仿宋" w:cs="仿宋"/>
          <w:sz w:val="32"/>
          <w:szCs w:val="32"/>
          <w:highlight w:val="none"/>
          <w:lang w:val="en-US" w:eastAsia="zh-CN"/>
        </w:rPr>
        <w:t>均</w:t>
      </w:r>
      <w:r>
        <w:rPr>
          <w:rFonts w:hint="eastAsia" w:ascii="仿宋" w:hAnsi="仿宋" w:eastAsia="仿宋" w:cs="仿宋"/>
          <w:sz w:val="32"/>
          <w:szCs w:val="32"/>
          <w:highlight w:val="none"/>
        </w:rPr>
        <w:t>由石家庄新铁职业高级中学党支部</w:t>
      </w:r>
      <w:r>
        <w:rPr>
          <w:rFonts w:hint="eastAsia" w:ascii="仿宋" w:hAnsi="仿宋" w:eastAsia="仿宋" w:cs="仿宋"/>
          <w:sz w:val="32"/>
          <w:szCs w:val="32"/>
          <w:highlight w:val="none"/>
          <w:lang w:val="en-US" w:eastAsia="zh-CN"/>
        </w:rPr>
        <w:t>委员会</w:t>
      </w:r>
      <w:r>
        <w:rPr>
          <w:rFonts w:hint="eastAsia" w:ascii="仿宋" w:hAnsi="仿宋" w:eastAsia="仿宋" w:cs="仿宋"/>
          <w:sz w:val="32"/>
          <w:szCs w:val="32"/>
          <w:highlight w:val="none"/>
        </w:rPr>
        <w:t>会议研究决定；涉及</w:t>
      </w:r>
      <w:r>
        <w:rPr>
          <w:rFonts w:hint="eastAsia" w:ascii="仿宋" w:hAnsi="仿宋" w:eastAsia="仿宋" w:cs="仿宋"/>
          <w:sz w:val="32"/>
          <w:szCs w:val="32"/>
          <w:highlight w:val="none"/>
          <w:lang w:val="en-US" w:eastAsia="zh-CN"/>
        </w:rPr>
        <w:t>到</w:t>
      </w:r>
      <w:r>
        <w:rPr>
          <w:rFonts w:hint="eastAsia" w:ascii="仿宋" w:hAnsi="仿宋" w:eastAsia="仿宋" w:cs="仿宋"/>
          <w:sz w:val="32"/>
          <w:szCs w:val="32"/>
          <w:highlight w:val="none"/>
        </w:rPr>
        <w:t>学校发展规划、重要改革、人事安排、师生员工切身利益和德育工作等重大事项，学校党支部参与讨论研究，经党组织会议研究提出意见，交理事会作出决定；涉及</w:t>
      </w:r>
      <w:r>
        <w:rPr>
          <w:rFonts w:hint="eastAsia" w:ascii="仿宋" w:hAnsi="仿宋" w:eastAsia="仿宋" w:cs="仿宋"/>
          <w:sz w:val="32"/>
          <w:szCs w:val="32"/>
          <w:highlight w:val="none"/>
          <w:lang w:val="en-US" w:eastAsia="zh-CN"/>
        </w:rPr>
        <w:t>到</w:t>
      </w:r>
      <w:r>
        <w:rPr>
          <w:rFonts w:hint="eastAsia" w:ascii="仿宋" w:hAnsi="仿宋" w:eastAsia="仿宋" w:cs="仿宋"/>
          <w:sz w:val="32"/>
          <w:szCs w:val="32"/>
          <w:highlight w:val="none"/>
        </w:rPr>
        <w:t>教师引进、课程建设、教材选用、学术活动、对外交流等事项，学校党支部把好政治关。建立健全学校党支部与理事会、监事会日常沟通协商制度，以及学校党支部与行政领导班子联席会议制度；强化学校党支部对学校重要决策实施的监督，定期组织党员、教职工代表等听取校长工作报告以及学校重大事项情况通报。</w:t>
      </w:r>
    </w:p>
    <w:p w14:paraId="2B78B66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2.1.2立德树人</w:t>
      </w:r>
    </w:p>
    <w:p w14:paraId="2E9ECEC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通过本年度制定德育工作计划，明确德育目标和任务，确保德育工作的同时有计划、有步骤地开展。同时加强师德师风建设，提高教师德育意识和能力，树立“以德立身、以德立学、以德施教”的良好风尚。</w:t>
      </w:r>
    </w:p>
    <w:p w14:paraId="2CF5FDB7">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sz w:val="32"/>
          <w:szCs w:val="32"/>
          <w:highlight w:val="none"/>
          <w:lang w:eastAsia="zh-CN"/>
        </w:rPr>
        <w:drawing>
          <wp:anchor distT="0" distB="0" distL="114300" distR="114300" simplePos="0" relativeHeight="251666432" behindDoc="0" locked="0" layoutInCell="1" allowOverlap="1">
            <wp:simplePos x="0" y="0"/>
            <wp:positionH relativeFrom="column">
              <wp:posOffset>-123825</wp:posOffset>
            </wp:positionH>
            <wp:positionV relativeFrom="paragraph">
              <wp:posOffset>50165</wp:posOffset>
            </wp:positionV>
            <wp:extent cx="5714365" cy="4286250"/>
            <wp:effectExtent l="0" t="0" r="635" b="0"/>
            <wp:wrapSquare wrapText="bothSides"/>
            <wp:docPr id="3" name="图片 3" descr="6a245d30bd9c9e2dc8bc39113a1cf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a245d30bd9c9e2dc8bc39113a1cf762"/>
                    <pic:cNvPicPr>
                      <a:picLocks noChangeAspect="1"/>
                    </pic:cNvPicPr>
                  </pic:nvPicPr>
                  <pic:blipFill>
                    <a:blip r:embed="rId8"/>
                    <a:stretch>
                      <a:fillRect/>
                    </a:stretch>
                  </pic:blipFill>
                  <pic:spPr>
                    <a:xfrm>
                      <a:off x="0" y="0"/>
                      <a:ext cx="5714365" cy="4286250"/>
                    </a:xfrm>
                    <a:prstGeom prst="rect">
                      <a:avLst/>
                    </a:prstGeom>
                  </pic:spPr>
                </pic:pic>
              </a:graphicData>
            </a:graphic>
          </wp:anchor>
        </w:drawing>
      </w:r>
      <w:r>
        <w:rPr>
          <w:rFonts w:hint="eastAsia" w:ascii="仿宋" w:hAnsi="仿宋" w:eastAsia="仿宋" w:cs="仿宋"/>
          <w:b/>
          <w:bCs/>
          <w:sz w:val="32"/>
          <w:szCs w:val="32"/>
          <w:highlight w:val="none"/>
        </w:rPr>
        <w:t>图1班会主题教育</w:t>
      </w:r>
    </w:p>
    <w:p w14:paraId="33233DD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实践活动与评价体系：开展主题班会、道德讲堂、志愿服务等特色德育活动28项。建立多元德育评价体系，通过学生自评、互评、师评等方式全面评估学生德育表现，学生</w:t>
      </w:r>
      <w:r>
        <w:rPr>
          <w:position w:val="-116"/>
          <w:highlight w:val="none"/>
        </w:rPr>
        <w:drawing>
          <wp:anchor distT="0" distB="0" distL="0" distR="0" simplePos="0" relativeHeight="251667456" behindDoc="0" locked="0" layoutInCell="1" allowOverlap="1">
            <wp:simplePos x="0" y="0"/>
            <wp:positionH relativeFrom="column">
              <wp:posOffset>142875</wp:posOffset>
            </wp:positionH>
            <wp:positionV relativeFrom="paragraph">
              <wp:posOffset>2605405</wp:posOffset>
            </wp:positionV>
            <wp:extent cx="5231765" cy="3709035"/>
            <wp:effectExtent l="0" t="0" r="6985" b="5715"/>
            <wp:wrapSquare wrapText="bothSides"/>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5231765" cy="3709415"/>
                    </a:xfrm>
                    <a:prstGeom prst="rect">
                      <a:avLst/>
                    </a:prstGeom>
                  </pic:spPr>
                </pic:pic>
              </a:graphicData>
            </a:graphic>
          </wp:anchor>
        </w:drawing>
      </w:r>
      <w:r>
        <w:rPr>
          <w:rFonts w:hint="eastAsia" w:ascii="仿宋" w:hAnsi="仿宋" w:eastAsia="仿宋" w:cs="仿宋"/>
          <w:sz w:val="32"/>
          <w:szCs w:val="32"/>
          <w:highlight w:val="none"/>
        </w:rPr>
        <w:t>思想道德考核优秀率达92%。</w:t>
      </w:r>
    </w:p>
    <w:p w14:paraId="4756C10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b/>
          <w:bCs/>
          <w:sz w:val="32"/>
          <w:szCs w:val="32"/>
          <w:highlight w:val="none"/>
        </w:rPr>
      </w:pPr>
      <w:r>
        <w:rPr>
          <w:rFonts w:hint="eastAsia" w:ascii="仿宋" w:hAnsi="仿宋" w:eastAsia="仿宋" w:cs="仿宋"/>
          <w:sz w:val="32"/>
          <w:szCs w:val="32"/>
          <w:highlight w:val="none"/>
        </w:rPr>
        <w:t>思政课坚持用习近平新时代中国特色社会主义思想铸魂育人，融入“四史”教育。创新教学方式，采用案例教学、情景模拟等方法，打造“课程思政”育人格局。建立心理辅导机制，关注学生心理健康。通过爱国主义、集体主义、社会主义核心价值观教育及健康向上的校园文化建设，全面提升学生思想道德水平。</w:t>
      </w:r>
    </w:p>
    <w:p w14:paraId="7B42D5BA">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b/>
          <w:bCs/>
          <w:sz w:val="32"/>
          <w:szCs w:val="32"/>
          <w:highlight w:val="none"/>
        </w:rPr>
        <w:t>图2社团活动</w:t>
      </w:r>
    </w:p>
    <w:p w14:paraId="0B3C1AA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总之，落实立德树人根本任务是学校教育工作的核心任务之一，需要全校师生共同努力。此次通过加强师德师风建设、开展丰富多彩的德育活动、建立学生德育评价体系等具体举措，以及加强思想政治理论课建设、开展爱国主义教育等经验做法和特色亮点，得到了全面提升学生的德育素质和思想道德水平。同时，看出了学校对班主任和思政课教师等德育工作者的培养和发展的重要性，为德育工作的顺利开展提供了有力保障.</w:t>
      </w:r>
    </w:p>
    <w:p w14:paraId="2E0C59F6">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表4中等职业学校“立德树人”情况统计表</w:t>
      </w:r>
    </w:p>
    <w:tbl>
      <w:tblPr>
        <w:tblStyle w:val="5"/>
        <w:tblW w:w="86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55"/>
        <w:gridCol w:w="3600"/>
        <w:gridCol w:w="1515"/>
        <w:gridCol w:w="1455"/>
      </w:tblGrid>
      <w:tr w14:paraId="1B95D5B5">
        <w:trPr>
          <w:trHeight w:val="540" w:hRule="atLeast"/>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1151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2.1.2</w:t>
            </w:r>
            <w:r>
              <w:rPr>
                <w:rStyle w:val="13"/>
                <w:lang w:val="en-US" w:eastAsia="zh-CN" w:bidi="ar"/>
              </w:rPr>
              <w:t>立德树人</w:t>
            </w: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CA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287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2024</w:t>
            </w:r>
            <w:r>
              <w:rPr>
                <w:rStyle w:val="13"/>
                <w:lang w:val="en-US" w:eastAsia="zh-CN" w:bidi="ar"/>
              </w:rPr>
              <w:t>年</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B168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2025</w:t>
            </w:r>
            <w:r>
              <w:rPr>
                <w:rStyle w:val="13"/>
                <w:lang w:val="en-US" w:eastAsia="zh-CN" w:bidi="ar"/>
              </w:rPr>
              <w:t>年</w:t>
            </w:r>
          </w:p>
        </w:tc>
      </w:tr>
      <w:tr w14:paraId="79EEF840">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0A750">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07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班主任人数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DC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70C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r>
      <w:tr w14:paraId="145D446C">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2ECF9">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A3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思想政治课教师数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1A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0E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55D2C39A">
        <w:trPr>
          <w:trHeight w:val="66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7876">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EC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专职德育工作人员数（不含班主任）</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A9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1B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r>
      <w:tr w14:paraId="3BED0979">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ABF95">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A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学生文化课合格率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51F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E3A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r>
      <w:tr w14:paraId="75A9E8A3">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A058">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D5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专业技能合格率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373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24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r>
      <w:tr w14:paraId="4066D5BC">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9958">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35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体育课专任教师数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FC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B7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2E941CC8">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2891F">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FA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美育课专任教师数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7FCE">
            <w:pPr>
              <w:keepNext w:val="0"/>
              <w:keepLines w:val="0"/>
              <w:widowControl/>
              <w:suppressLineNumbers w:val="0"/>
              <w:jc w:val="center"/>
              <w:textAlignment w:val="center"/>
              <w:rPr>
                <w:rFonts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CDC5">
            <w:pPr>
              <w:keepNext w:val="0"/>
              <w:keepLines w:val="0"/>
              <w:widowControl/>
              <w:suppressLineNumbers w:val="0"/>
              <w:jc w:val="center"/>
              <w:textAlignment w:val="center"/>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2</w:t>
            </w:r>
          </w:p>
        </w:tc>
      </w:tr>
      <w:tr w14:paraId="71BCD942">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6AF48">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18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学生体质测评合格率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CC1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6E2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r>
      <w:tr w14:paraId="0409DACC">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9538E">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13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毕业率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B9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2A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99</w:t>
            </w:r>
          </w:p>
        </w:tc>
      </w:tr>
      <w:tr w14:paraId="7FBD29B6">
        <w:trPr>
          <w:trHeight w:val="42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A3DDA">
            <w:pPr>
              <w:jc w:val="center"/>
              <w:rPr>
                <w:rFonts w:hint="default" w:ascii="Times New Roman" w:hAnsi="Times New Roman" w:eastAsia="宋体" w:cs="Times New Roman"/>
                <w:b/>
                <w:bCs/>
                <w:i w:val="0"/>
                <w:iCs w:val="0"/>
                <w:color w:val="000000"/>
                <w:sz w:val="24"/>
                <w:szCs w:val="24"/>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DB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学生获市级大赛、表彰获奖次数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B24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BF0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r>
    </w:tbl>
    <w:p w14:paraId="60028ED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2.1.3心理健康与职业生涯教育护航成长</w:t>
      </w:r>
    </w:p>
    <w:p w14:paraId="34D8ABF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学校配备了</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名专职心理健康教师，开设心理健康必修课与选修课，建立“学校-</w:t>
      </w:r>
      <w:r>
        <w:rPr>
          <w:rFonts w:hint="eastAsia" w:ascii="仿宋" w:hAnsi="仿宋" w:eastAsia="仿宋" w:cs="仿宋"/>
          <w:sz w:val="32"/>
          <w:szCs w:val="32"/>
          <w:highlight w:val="none"/>
          <w:lang w:val="en-US" w:eastAsia="zh-CN"/>
        </w:rPr>
        <w:t>系</w:t>
      </w:r>
      <w:r>
        <w:rPr>
          <w:rFonts w:hint="eastAsia" w:ascii="仿宋" w:hAnsi="仿宋" w:eastAsia="仿宋" w:cs="仿宋"/>
          <w:sz w:val="32"/>
          <w:szCs w:val="32"/>
          <w:highlight w:val="none"/>
        </w:rPr>
        <w:t>部-班级-宿舍”四级预警网络，全年开展辅导42次，有效帮助学生疏导情绪、缓解压力。职业生涯教育贯穿全过程，高一进行职业认知与规划启蒙，高二开展职业体验与技能探索，高三聚焦就业指导与升学咨询。</w:t>
      </w:r>
      <w:r>
        <w:rPr>
          <w:rFonts w:hint="eastAsia" w:ascii="仿宋" w:hAnsi="仿宋" w:eastAsia="仿宋" w:cs="仿宋"/>
          <w:sz w:val="32"/>
          <w:szCs w:val="32"/>
          <w:highlight w:val="none"/>
          <w:lang w:val="en-US" w:eastAsia="zh-CN"/>
        </w:rPr>
        <w:t>本学年度与多</w:t>
      </w:r>
      <w:r>
        <w:rPr>
          <w:rFonts w:hint="eastAsia" w:ascii="仿宋" w:hAnsi="仿宋" w:eastAsia="仿宋" w:cs="仿宋"/>
          <w:sz w:val="32"/>
          <w:szCs w:val="32"/>
          <w:highlight w:val="none"/>
        </w:rPr>
        <w:t>家企业联合开设“职业大讲堂”，邀请企业人力资源专家、技术骨干来校讲座，帮助学生明晰职业路径。</w:t>
      </w:r>
    </w:p>
    <w:p w14:paraId="485697BF">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2.1.5升学情况</w:t>
      </w:r>
    </w:p>
    <w:p w14:paraId="1214B18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b/>
          <w:bCs/>
          <w:sz w:val="32"/>
          <w:szCs w:val="32"/>
          <w:highlight w:val="none"/>
        </w:rPr>
      </w:pPr>
      <w:r>
        <w:rPr>
          <w:rFonts w:hint="eastAsia" w:ascii="仿宋" w:hAnsi="仿宋" w:eastAsia="仿宋" w:cs="仿宋"/>
          <w:sz w:val="32"/>
          <w:szCs w:val="32"/>
          <w:highlight w:val="none"/>
          <w:lang w:val="en-US" w:eastAsia="zh-CN"/>
        </w:rPr>
        <w:t>我校</w:t>
      </w:r>
      <w:r>
        <w:rPr>
          <w:rFonts w:hint="eastAsia" w:ascii="仿宋" w:hAnsi="仿宋" w:eastAsia="仿宋" w:cs="仿宋"/>
          <w:sz w:val="32"/>
          <w:szCs w:val="32"/>
          <w:highlight w:val="none"/>
        </w:rPr>
        <w:t>学生主要通过河北省单招考试</w:t>
      </w:r>
      <w:r>
        <w:rPr>
          <w:rFonts w:hint="eastAsia" w:ascii="仿宋" w:hAnsi="仿宋" w:eastAsia="仿宋" w:cs="仿宋"/>
          <w:sz w:val="32"/>
          <w:szCs w:val="32"/>
          <w:highlight w:val="none"/>
          <w:lang w:val="en-US" w:eastAsia="zh-CN"/>
        </w:rPr>
        <w:t>和全国高考</w:t>
      </w:r>
      <w:r>
        <w:rPr>
          <w:rFonts w:hint="eastAsia" w:ascii="仿宋" w:hAnsi="仿宋" w:eastAsia="仿宋" w:cs="仿宋"/>
          <w:sz w:val="32"/>
          <w:szCs w:val="32"/>
          <w:highlight w:val="none"/>
        </w:rPr>
        <w:t>升学</w:t>
      </w:r>
      <w:r>
        <w:rPr>
          <w:rFonts w:hint="eastAsia" w:ascii="仿宋" w:hAnsi="仿宋" w:eastAsia="仿宋" w:cs="仿宋"/>
          <w:sz w:val="32"/>
          <w:szCs w:val="32"/>
          <w:highlight w:val="none"/>
          <w:lang w:val="en-US" w:eastAsia="zh-CN"/>
        </w:rPr>
        <w:t>两个途径</w:t>
      </w:r>
      <w:r>
        <w:rPr>
          <w:rFonts w:hint="eastAsia" w:ascii="仿宋" w:hAnsi="仿宋" w:eastAsia="仿宋" w:cs="仿宋"/>
          <w:sz w:val="32"/>
          <w:szCs w:val="32"/>
          <w:highlight w:val="none"/>
        </w:rPr>
        <w:t>。202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年，各类别考试平均上线率良好，其中第六类上线率达100%，第</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rPr>
        <w:t>类作为主体类别，上线率</w:t>
      </w:r>
      <w:r>
        <w:rPr>
          <w:rFonts w:hint="eastAsia" w:ascii="仿宋" w:hAnsi="仿宋" w:eastAsia="仿宋" w:cs="仿宋"/>
          <w:sz w:val="32"/>
          <w:szCs w:val="32"/>
          <w:highlight w:val="none"/>
          <w:lang w:val="en-US" w:eastAsia="zh-CN"/>
        </w:rPr>
        <w:t>87</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w:t>
      </w:r>
    </w:p>
    <w:p w14:paraId="6C750A34">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w:t>
      </w:r>
      <w:r>
        <w:rPr>
          <w:rFonts w:hint="eastAsia" w:ascii="仿宋" w:hAnsi="仿宋" w:eastAsia="仿宋" w:cs="仿宋"/>
          <w:b/>
          <w:bCs/>
          <w:sz w:val="32"/>
          <w:szCs w:val="32"/>
          <w:highlight w:val="none"/>
          <w:lang w:val="en-US" w:eastAsia="zh-CN"/>
        </w:rPr>
        <w:t>5</w:t>
      </w:r>
      <w:r>
        <w:rPr>
          <w:rFonts w:hint="eastAsia" w:ascii="仿宋" w:hAnsi="仿宋" w:eastAsia="仿宋" w:cs="仿宋"/>
          <w:b/>
          <w:bCs/>
          <w:sz w:val="32"/>
          <w:szCs w:val="32"/>
          <w:highlight w:val="none"/>
        </w:rPr>
        <w:t>-升学情况分析</w:t>
      </w:r>
    </w:p>
    <w:tbl>
      <w:tblPr>
        <w:tblStyle w:val="5"/>
        <w:tblW w:w="90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1215"/>
        <w:gridCol w:w="960"/>
        <w:gridCol w:w="885"/>
        <w:gridCol w:w="1080"/>
        <w:gridCol w:w="1080"/>
        <w:gridCol w:w="660"/>
        <w:gridCol w:w="600"/>
        <w:gridCol w:w="600"/>
        <w:gridCol w:w="1080"/>
      </w:tblGrid>
      <w:tr w14:paraId="6C526129">
        <w:trPr>
          <w:trHeight w:val="58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1CC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类别</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9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语文</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9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数学</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8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选科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F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2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总分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2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参考人数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0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上线人数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16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落榜人数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2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上线率</w:t>
            </w:r>
          </w:p>
        </w:tc>
      </w:tr>
      <w:tr w14:paraId="48C5E92C">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A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9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90.14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F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79.51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CE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0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209.23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F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425.88</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F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83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0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8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87.70%</w:t>
            </w:r>
          </w:p>
        </w:tc>
      </w:tr>
      <w:tr w14:paraId="5C3171A8">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C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41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97.76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1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74.71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3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36.78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6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232.94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F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442.17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E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6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1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8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74.10%</w:t>
            </w:r>
          </w:p>
        </w:tc>
      </w:tr>
      <w:tr w14:paraId="776A9C24">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C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1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106.82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C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81.65</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AA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0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247.16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E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509.06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D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9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3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F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83.30%</w:t>
            </w:r>
          </w:p>
        </w:tc>
      </w:tr>
      <w:tr w14:paraId="02E976DA">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E41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C9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7B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D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A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21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336.6</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5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51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0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3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42.80%</w:t>
            </w:r>
          </w:p>
        </w:tc>
      </w:tr>
      <w:tr w14:paraId="33A26281">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A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五类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D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73.57</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C5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53.21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9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0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2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416.64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3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A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D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8A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38.57%</w:t>
            </w:r>
          </w:p>
        </w:tc>
      </w:tr>
      <w:tr w14:paraId="2E2B2911">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7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六类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83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121.33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B3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106.67</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6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52.33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F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256.67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1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537</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E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F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DE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2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r>
      <w:tr w14:paraId="4844FA96">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3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七类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1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E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6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6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3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AF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9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65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A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r>
      <w:tr w14:paraId="64276149">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0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九类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B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63.59</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7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7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F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195.71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0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334.52</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7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0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3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9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47.50%</w:t>
            </w:r>
          </w:p>
        </w:tc>
      </w:tr>
      <w:tr w14:paraId="451E4126">
        <w:trPr>
          <w:trHeight w:val="27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B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十类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1E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6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83.87</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C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D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D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448.4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C9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E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0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1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82.60%</w:t>
            </w:r>
          </w:p>
        </w:tc>
      </w:tr>
    </w:tbl>
    <w:p w14:paraId="17896B4C">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2.1.</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技能大赛</w:t>
      </w:r>
    </w:p>
    <w:p w14:paraId="48336F9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学校坚持“以赛促教、以赛促学、赛教结合”，积极组织学生参加各级技能大赛，在工程测量、职业礼仪、算量等项目上屡获佳绩。202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至202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学年，</w:t>
      </w:r>
      <w:r>
        <w:rPr>
          <w:rFonts w:hint="eastAsia" w:ascii="仿宋" w:hAnsi="仿宋" w:eastAsia="仿宋" w:cs="仿宋"/>
          <w:sz w:val="32"/>
          <w:szCs w:val="32"/>
          <w:highlight w:val="none"/>
          <w:lang w:val="en-US" w:eastAsia="zh-CN"/>
        </w:rPr>
        <w:t>多</w:t>
      </w:r>
      <w:r>
        <w:rPr>
          <w:rFonts w:hint="eastAsia" w:ascii="仿宋" w:hAnsi="仿宋" w:eastAsia="仿宋" w:cs="仿宋"/>
          <w:sz w:val="32"/>
          <w:szCs w:val="32"/>
          <w:highlight w:val="none"/>
        </w:rPr>
        <w:t>名学生获得市级竞赛个人或团体奖项，体现了良好的职业能力培养成效。</w:t>
      </w:r>
    </w:p>
    <w:tbl>
      <w:tblPr>
        <w:tblStyle w:val="5"/>
        <w:tblpPr w:leftFromText="180" w:rightFromText="180" w:vertAnchor="text" w:horzAnchor="page" w:tblpX="1380" w:tblpY="774"/>
        <w:tblOverlap w:val="never"/>
        <w:tblW w:w="94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930"/>
        <w:gridCol w:w="675"/>
        <w:gridCol w:w="1875"/>
        <w:gridCol w:w="1245"/>
        <w:gridCol w:w="2550"/>
        <w:gridCol w:w="1236"/>
      </w:tblGrid>
      <w:tr w14:paraId="5D314C1E">
        <w:trPr>
          <w:trHeight w:val="64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1860">
            <w:pPr>
              <w:keepNext w:val="0"/>
              <w:keepLines w:val="0"/>
              <w:widowControl/>
              <w:suppressLineNumbers w:val="0"/>
              <w:jc w:val="center"/>
              <w:textAlignment w:val="top"/>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年级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311E">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姓名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6C5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项目类别</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466C">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赛时间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297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获奖项目</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A83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获奖情况</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19F4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指导老师</w:t>
            </w:r>
          </w:p>
        </w:tc>
      </w:tr>
      <w:tr w14:paraId="6BB8447C">
        <w:trPr>
          <w:trHeight w:val="36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19FBA1C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7413A5AE">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高天成</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3AB004F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05329996">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2023年5月</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14:paraId="7BBAB55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工程测量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054B7C3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团体三等奖、个人二等奖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7F5CBFEE">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曹靖雯</w:t>
            </w:r>
          </w:p>
        </w:tc>
      </w:tr>
      <w:tr w14:paraId="2F04250C">
        <w:trPr>
          <w:trHeight w:val="38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09224E30">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C0E373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郝嘉泓</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3566ACE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221AE89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2023年5月</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067841">
            <w:pPr>
              <w:keepNext w:val="0"/>
              <w:keepLines w:val="0"/>
              <w:widowControl/>
              <w:suppressLineNumbers w:val="0"/>
              <w:jc w:val="center"/>
              <w:textAlignment w:val="top"/>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算量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C60B200">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团体二等奖、个人一等奖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095E472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韩祖杨</w:t>
            </w:r>
          </w:p>
        </w:tc>
      </w:tr>
      <w:tr w14:paraId="5DF284FE">
        <w:trPr>
          <w:trHeight w:val="39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50908CD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FDF7891">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王子兴</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497A3EE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0DCD07F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2023年5月</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3EA6F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工程测量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3E1F2AB">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团体二等奖、个人三等奖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2472EA3E">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韩祖杨</w:t>
            </w:r>
          </w:p>
        </w:tc>
      </w:tr>
      <w:tr w14:paraId="1DC65F06">
        <w:trPr>
          <w:trHeight w:val="41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71F2DC2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107B31C">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崔维琛</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74131A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6E41C4A6">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2023年5月</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14:paraId="4F53CC16">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算量</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4B0F4BD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团体三等奖、个人三等奖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32A4204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曹靖雯</w:t>
            </w:r>
          </w:p>
        </w:tc>
      </w:tr>
      <w:tr w14:paraId="7DAC9D4F">
        <w:trPr>
          <w:trHeight w:val="39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43192B9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7BB508D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陈志丹</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599DFA2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798C1C5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2023年11月</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top"/>
          </w:tcPr>
          <w:p w14:paraId="3AF87A3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5E14DBD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团体三等奖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287470B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4371B03D">
        <w:trPr>
          <w:trHeight w:val="42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16D5442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5CE011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张家玮</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7F60921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2D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A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0607791">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11028FD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2963B8CE">
        <w:trPr>
          <w:trHeight w:val="33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FB39381">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6B1F6AD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刘子怡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3E78107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15A67C9B">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3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383B96A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3051E751">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60D49491">
        <w:trPr>
          <w:trHeight w:val="33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3DD1AE7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67538F4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韩露瑶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4CF492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693AC5E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3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top"/>
          </w:tcPr>
          <w:p w14:paraId="200F7F4C">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3517382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1E40707F">
        <w:trPr>
          <w:trHeight w:val="38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4BEC2D2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4CA29E7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韩梦洁</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16914761">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5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38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292E28B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76600AD4">
        <w:trPr>
          <w:trHeight w:val="322"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2B8835C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2023秋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6F77863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张禹哲</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09C6841C">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4B6468A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D1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E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25A8941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r w14:paraId="055D7FEB">
        <w:trPr>
          <w:trHeight w:val="297"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18797C8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2024秋</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top"/>
          </w:tcPr>
          <w:p w14:paraId="0568B4B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赵子博</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top"/>
          </w:tcPr>
          <w:p w14:paraId="28C6CBE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市级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top"/>
          </w:tcPr>
          <w:p w14:paraId="464FBA1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2025年2月3日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7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职业礼仪</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E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个人三等奖</w:t>
            </w:r>
          </w:p>
        </w:tc>
        <w:tc>
          <w:tcPr>
            <w:tcW w:w="1236" w:type="dxa"/>
            <w:tcBorders>
              <w:top w:val="single" w:color="000000" w:sz="4" w:space="0"/>
              <w:left w:val="single" w:color="000000" w:sz="4" w:space="0"/>
              <w:bottom w:val="single" w:color="000000" w:sz="4" w:space="0"/>
              <w:right w:val="single" w:color="000000" w:sz="4" w:space="0"/>
            </w:tcBorders>
            <w:shd w:val="clear" w:color="auto" w:fill="auto"/>
            <w:vAlign w:val="top"/>
          </w:tcPr>
          <w:p w14:paraId="14FDBD10">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张冰丽</w:t>
            </w:r>
          </w:p>
        </w:tc>
      </w:tr>
    </w:tbl>
    <w:p w14:paraId="0307816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-获奖情况</w:t>
      </w:r>
    </w:p>
    <w:p w14:paraId="23A79DCD">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position w:val="-85"/>
          <w:highlight w:val="none"/>
        </w:rPr>
        <w:drawing>
          <wp:anchor distT="0" distB="0" distL="0" distR="0" simplePos="0" relativeHeight="251663360" behindDoc="0" locked="0" layoutInCell="1" allowOverlap="1">
            <wp:simplePos x="0" y="0"/>
            <wp:positionH relativeFrom="column">
              <wp:posOffset>-377190</wp:posOffset>
            </wp:positionH>
            <wp:positionV relativeFrom="paragraph">
              <wp:posOffset>354965</wp:posOffset>
            </wp:positionV>
            <wp:extent cx="2949575" cy="2360930"/>
            <wp:effectExtent l="0" t="0" r="3175" b="1270"/>
            <wp:wrapSquare wrapText="bothSides"/>
            <wp:docPr id="15" name="IM 28"/>
            <wp:cNvGraphicFramePr/>
            <a:graphic xmlns:a="http://schemas.openxmlformats.org/drawingml/2006/main">
              <a:graphicData uri="http://schemas.openxmlformats.org/drawingml/2006/picture">
                <pic:pic xmlns:pic="http://schemas.openxmlformats.org/drawingml/2006/picture">
                  <pic:nvPicPr>
                    <pic:cNvPr id="15" name="IM 28"/>
                    <pic:cNvPicPr/>
                  </pic:nvPicPr>
                  <pic:blipFill>
                    <a:blip r:embed="rId10"/>
                    <a:stretch>
                      <a:fillRect/>
                    </a:stretch>
                  </pic:blipFill>
                  <pic:spPr>
                    <a:xfrm>
                      <a:off x="0" y="0"/>
                      <a:ext cx="2949575" cy="2360930"/>
                    </a:xfrm>
                    <a:prstGeom prst="rect">
                      <a:avLst/>
                    </a:prstGeom>
                  </pic:spPr>
                </pic:pic>
              </a:graphicData>
            </a:graphic>
          </wp:anchor>
        </w:drawing>
      </w:r>
    </w:p>
    <w:p w14:paraId="396229C9">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drawing>
          <wp:anchor distT="0" distB="0" distL="114300" distR="114300" simplePos="0" relativeHeight="251668480" behindDoc="0" locked="0" layoutInCell="1" allowOverlap="1">
            <wp:simplePos x="0" y="0"/>
            <wp:positionH relativeFrom="column">
              <wp:posOffset>51435</wp:posOffset>
            </wp:positionH>
            <wp:positionV relativeFrom="paragraph">
              <wp:posOffset>18415</wp:posOffset>
            </wp:positionV>
            <wp:extent cx="3100705" cy="2325370"/>
            <wp:effectExtent l="0" t="0" r="4445" b="17780"/>
            <wp:wrapSquare wrapText="bothSides"/>
            <wp:docPr id="13" name="图片 13" descr="4b5679ba56ad59d9a1a041d22ae91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b5679ba56ad59d9a1a041d22ae913ee"/>
                    <pic:cNvPicPr>
                      <a:picLocks noChangeAspect="1"/>
                    </pic:cNvPicPr>
                  </pic:nvPicPr>
                  <pic:blipFill>
                    <a:blip r:embed="rId11"/>
                    <a:stretch>
                      <a:fillRect/>
                    </a:stretch>
                  </pic:blipFill>
                  <pic:spPr>
                    <a:xfrm>
                      <a:off x="0" y="0"/>
                      <a:ext cx="3100705" cy="2325370"/>
                    </a:xfrm>
                    <a:prstGeom prst="rect">
                      <a:avLst/>
                    </a:prstGeom>
                  </pic:spPr>
                </pic:pic>
              </a:graphicData>
            </a:graphic>
          </wp:anchor>
        </w:drawing>
      </w:r>
      <w:r>
        <w:rPr>
          <w:rFonts w:hint="eastAsia" w:ascii="仿宋" w:hAnsi="仿宋" w:eastAsia="仿宋" w:cs="仿宋"/>
          <w:b/>
          <w:bCs/>
          <w:sz w:val="32"/>
          <w:szCs w:val="32"/>
          <w:highlight w:val="none"/>
        </w:rPr>
        <w:t>图3学生获奖照片</w:t>
      </w:r>
    </w:p>
    <w:p w14:paraId="2C495435">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2.2教育教学</w:t>
      </w:r>
    </w:p>
    <w:p w14:paraId="296F0EE9">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2.2.1专业建设质量</w:t>
      </w:r>
    </w:p>
    <w:p w14:paraId="1E57B046">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学校形成以交通运输专业群为核心，涵盖电子与信息、装备制造、财经商贸等大类的多元化专业格局。特色专业建设成果显著</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学生在2024年中职技能大赛职业礼仪、客运服务赛项中荣获多项团体与个人奖项。在202</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年工程测量、BIM建模、工程算量等赛项中表现突出，获得多项荣誉。</w:t>
      </w:r>
      <w:r>
        <w:rPr>
          <w:rFonts w:hint="eastAsia" w:ascii="仿宋" w:hAnsi="仿宋" w:eastAsia="仿宋" w:cs="仿宋"/>
          <w:sz w:val="32"/>
          <w:szCs w:val="32"/>
          <w:highlight w:val="none"/>
          <w:lang w:val="en-US" w:eastAsia="zh-CN"/>
        </w:rPr>
        <w:t>同时</w:t>
      </w:r>
      <w:r>
        <w:rPr>
          <w:rFonts w:hint="eastAsia" w:ascii="仿宋" w:hAnsi="仿宋" w:eastAsia="仿宋" w:cs="仿宋"/>
          <w:sz w:val="32"/>
          <w:szCs w:val="32"/>
          <w:highlight w:val="none"/>
        </w:rPr>
        <w:t>注重师资</w:t>
      </w:r>
      <w:r>
        <w:rPr>
          <w:rFonts w:hint="eastAsia" w:ascii="仿宋" w:hAnsi="仿宋" w:eastAsia="仿宋" w:cs="仿宋"/>
          <w:sz w:val="32"/>
          <w:szCs w:val="32"/>
          <w:highlight w:val="none"/>
          <w:lang w:val="en-US" w:eastAsia="zh-CN"/>
        </w:rPr>
        <w:t>的</w:t>
      </w:r>
      <w:r>
        <w:rPr>
          <w:rFonts w:hint="eastAsia" w:ascii="仿宋" w:hAnsi="仿宋" w:eastAsia="仿宋" w:cs="仿宋"/>
          <w:sz w:val="32"/>
          <w:szCs w:val="32"/>
          <w:highlight w:val="none"/>
        </w:rPr>
        <w:t>培养，安排教师参加</w:t>
      </w:r>
      <w:r>
        <w:rPr>
          <w:rFonts w:hint="eastAsia" w:ascii="仿宋" w:hAnsi="仿宋" w:eastAsia="仿宋" w:cs="仿宋"/>
          <w:sz w:val="32"/>
          <w:szCs w:val="32"/>
          <w:highlight w:val="none"/>
          <w:lang w:val="en-US" w:eastAsia="zh-CN"/>
        </w:rPr>
        <w:t>国家、省、市级各类培训</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组织教职工专业能力提升，2024年度</w:t>
      </w:r>
      <w:r>
        <w:rPr>
          <w:rFonts w:hint="eastAsia" w:ascii="仿宋" w:hAnsi="仿宋" w:eastAsia="仿宋" w:cs="仿宋"/>
          <w:sz w:val="32"/>
          <w:szCs w:val="32"/>
          <w:highlight w:val="none"/>
        </w:rPr>
        <w:t>多名教师取得高级职业资格证书。</w:t>
      </w:r>
    </w:p>
    <w:p w14:paraId="263F1A41">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2.2.2课程建设质量</w:t>
      </w:r>
    </w:p>
    <w:p w14:paraId="45A7F476">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（1）中高职（中本）课程衔接</w:t>
      </w:r>
    </w:p>
    <w:p w14:paraId="6A0EFB0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立足中高职一体化培养，以“教学做”一体化模式为基础，将典型工作任务转化为学习情境，推动理论与实践深度融合。课程设计以工作过程为导向，强调职业能力的阶段性递进：中职阶段重点夯实专业基础能力与基本操作技能，高职阶段则侧重专业知识深化与综合技能提升。通过对口升学考试与日常教学的衔接引导，确保人才培养方向明确、路径贯通，为学生后续发展奠定坚实基础。</w:t>
      </w:r>
    </w:p>
    <w:p w14:paraId="418D51A3">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（2）课程建设规划与体系建设</w:t>
      </w:r>
    </w:p>
    <w:p w14:paraId="3FC8F6E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学校将课程建设视为提升教学质量的核心，构建了“五模块”结构化课程体系</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体系包括公共基础模块、职业基础模块、岗位操作技术模块、专业方向模块及选修模块，每个模块均设有明确的知识、能力与素质目标。</w:t>
      </w:r>
    </w:p>
    <w:p w14:paraId="371ADF3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课程设置紧密对接职业岗位需求，通过校企合作分析岗位能力，并转化为具体课程内容，突出知识的综合运用与实践导向。严格保障公共基础课程学时占比不低于总学时的三分之一。课程体系充分发挥育人功能，融入马克思主义理论、中华优秀传统文化、职业素养等必修内容，确保学生全面发展。</w:t>
      </w:r>
    </w:p>
    <w:p w14:paraId="6C93BAF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（3）课程思政建设</w:t>
      </w:r>
    </w:p>
    <w:p w14:paraId="330911C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学校将立德树人根本任务贯穿课程建设全过程</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严格选用《中国特色社会主义》等四门国家规划教材作为必修基础模块，并开设</w:t>
      </w:r>
      <w:r>
        <w:rPr>
          <w:rFonts w:hint="eastAsia" w:ascii="仿宋" w:hAnsi="仿宋" w:eastAsia="仿宋" w:cs="仿宋"/>
          <w:sz w:val="32"/>
          <w:szCs w:val="32"/>
          <w:highlight w:val="none"/>
          <w:lang w:val="en-US" w:eastAsia="zh-CN"/>
        </w:rPr>
        <w:t>时事政治</w:t>
      </w:r>
      <w:r>
        <w:rPr>
          <w:rFonts w:hint="eastAsia" w:ascii="仿宋" w:hAnsi="仿宋" w:eastAsia="仿宋" w:cs="仿宋"/>
          <w:sz w:val="32"/>
          <w:szCs w:val="32"/>
          <w:highlight w:val="none"/>
        </w:rPr>
        <w:t>、国家安全教育等拓展选修课程。聚焦政治认同、法治意识、职业精神、健全人格等核心素养，将社会主义核心价值观、习近平新时代中国特色社会主义思想有机融入教学。注重结合中职学生特点与职业教育实际，增强思政教育的针对性与实效性，实现全员、全程、全方位育人。</w:t>
      </w:r>
    </w:p>
    <w:p w14:paraId="17D9258F">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（4）课程建设质量标准与监测评价</w:t>
      </w:r>
    </w:p>
    <w:p w14:paraId="2C982A96">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学校以国家教学标准为根本，建立并实施科学的课程质量监控与评价机制</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严格执行《职业教育法》及国家专业教学标准，规范开设公共基础课与专业课，确保课程内容突出应用性、实践性。建立以技能考核为核心的综合评价体系，采用笔试、机考、技能实操、现场答辩等多种形式，全面评估学生的知识、能力与素质。依据《中等职业学校专业教学指导方案》制定校本评价标准，并通过监测反馈持续优化课程设计与实施，保障人才培养质量。</w:t>
      </w:r>
    </w:p>
    <w:p w14:paraId="0A08D956">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2.2.3教学方法改革</w:t>
      </w:r>
    </w:p>
    <w:p w14:paraId="4222F92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学校鼓励教学创新，公共基础课遵循“必须、够用”原则优化内容。专业教学大力倡导采用启发式、讨论式、项目式等教学方法，致力于培养学生思维能力、解决问题能力及创新精神，有效调动学习主动性。</w:t>
      </w:r>
    </w:p>
    <w:p w14:paraId="62A7BACF">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2.2.4教学资源建设</w:t>
      </w:r>
    </w:p>
    <w:p w14:paraId="20B0AF0D">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学校拥有焊工、钳工、电工、接触网、形体室、测量场地等实训场地以及电教楼（含四间教学机房和一间校企合作培训机房）。教师主编并出版了《初级电工职业技能鉴定》、《形体实训》、《计算机应用基础》等7部专业教材，由东北师范大学出版社出版，丰富了校本教学资源。</w:t>
      </w:r>
    </w:p>
    <w:p w14:paraId="1530333E">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p>
    <w:p w14:paraId="6F63EA74">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p>
    <w:p w14:paraId="654C0D9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p>
    <w:p w14:paraId="5EEE953A">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p>
    <w:p w14:paraId="7C17890D">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p>
    <w:p w14:paraId="45800DE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表</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-教材编写信息</w:t>
      </w:r>
    </w:p>
    <w:tbl>
      <w:tblPr>
        <w:tblStyle w:val="5"/>
        <w:tblW w:w="85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2"/>
        <w:gridCol w:w="2820"/>
        <w:gridCol w:w="2402"/>
        <w:gridCol w:w="2414"/>
      </w:tblGrid>
      <w:tr w14:paraId="7AB37A9F">
        <w:trPr>
          <w:trHeight w:val="330" w:hRule="atLeast"/>
        </w:trPr>
        <w:tc>
          <w:tcPr>
            <w:tcW w:w="92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BB40D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序号</w:t>
            </w:r>
          </w:p>
        </w:tc>
        <w:tc>
          <w:tcPr>
            <w:tcW w:w="282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995ED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教材名称</w:t>
            </w:r>
          </w:p>
        </w:tc>
        <w:tc>
          <w:tcPr>
            <w:tcW w:w="240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E5A73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主编</w:t>
            </w:r>
          </w:p>
        </w:tc>
        <w:tc>
          <w:tcPr>
            <w:tcW w:w="24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B479C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出版社</w:t>
            </w:r>
          </w:p>
        </w:tc>
      </w:tr>
      <w:tr w14:paraId="455CA355">
        <w:trPr>
          <w:trHeight w:val="367"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4C721C2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3A99D9F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AutoCAD基础教程</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47BBE3C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韩祖杨</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70FDCBB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r w14:paraId="4D76A81E">
        <w:trPr>
          <w:trHeight w:val="354"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3AC8CC0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157BCAD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电路实验指导书</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0973D04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郭谱、王红翠</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41270B66">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r w14:paraId="5BE270DB">
        <w:trPr>
          <w:trHeight w:val="272"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0214422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3ED765C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形体实训</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6EBB648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张冰丽、薛雨晴</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45DC0AF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r w14:paraId="6E859DD9">
        <w:trPr>
          <w:trHeight w:val="408"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0ACAB4E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73E4780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计算机应用基础</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47576A5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王欢、苏栋华</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053EE2C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r w14:paraId="7E194514">
        <w:trPr>
          <w:trHeight w:val="340"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04CA7B9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65EF547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英语基础会话模块</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04CF126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胡明</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440C973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r w14:paraId="264B3690">
        <w:trPr>
          <w:trHeight w:val="394" w:hRule="atLeast"/>
        </w:trPr>
        <w:tc>
          <w:tcPr>
            <w:tcW w:w="922" w:type="dxa"/>
            <w:tcBorders>
              <w:top w:val="nil"/>
              <w:left w:val="single" w:color="000000" w:sz="8" w:space="0"/>
              <w:bottom w:val="single" w:color="000000" w:sz="8" w:space="0"/>
              <w:right w:val="single" w:color="000000" w:sz="8" w:space="0"/>
            </w:tcBorders>
            <w:shd w:val="clear" w:color="auto" w:fill="auto"/>
            <w:vAlign w:val="center"/>
          </w:tcPr>
          <w:p w14:paraId="71B8904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2820" w:type="dxa"/>
            <w:tcBorders>
              <w:top w:val="nil"/>
              <w:left w:val="single" w:color="000000" w:sz="8" w:space="0"/>
              <w:bottom w:val="single" w:color="000000" w:sz="8" w:space="0"/>
              <w:right w:val="single" w:color="000000" w:sz="8" w:space="0"/>
            </w:tcBorders>
            <w:shd w:val="clear" w:color="auto" w:fill="auto"/>
            <w:vAlign w:val="center"/>
          </w:tcPr>
          <w:p w14:paraId="53B5423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河北单招考试语文辅导</w:t>
            </w:r>
          </w:p>
        </w:tc>
        <w:tc>
          <w:tcPr>
            <w:tcW w:w="2402" w:type="dxa"/>
            <w:tcBorders>
              <w:top w:val="nil"/>
              <w:left w:val="single" w:color="000000" w:sz="8" w:space="0"/>
              <w:bottom w:val="single" w:color="000000" w:sz="8" w:space="0"/>
              <w:right w:val="single" w:color="000000" w:sz="8" w:space="0"/>
            </w:tcBorders>
            <w:shd w:val="clear" w:color="auto" w:fill="auto"/>
            <w:vAlign w:val="center"/>
          </w:tcPr>
          <w:p w14:paraId="23253BB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张松文、左鹏程</w:t>
            </w:r>
          </w:p>
        </w:tc>
        <w:tc>
          <w:tcPr>
            <w:tcW w:w="2414" w:type="dxa"/>
            <w:tcBorders>
              <w:top w:val="nil"/>
              <w:left w:val="single" w:color="000000" w:sz="8" w:space="0"/>
              <w:bottom w:val="single" w:color="000000" w:sz="8" w:space="0"/>
              <w:right w:val="single" w:color="000000" w:sz="8" w:space="0"/>
            </w:tcBorders>
            <w:shd w:val="clear" w:color="auto" w:fill="auto"/>
            <w:vAlign w:val="center"/>
          </w:tcPr>
          <w:p w14:paraId="4902414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top"/>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东北师范大学出版社</w:t>
            </w:r>
          </w:p>
        </w:tc>
      </w:tr>
    </w:tbl>
    <w:p w14:paraId="307A83E0">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2.2.5师资队伍建设</w:t>
      </w:r>
    </w:p>
    <w:p w14:paraId="14BE69E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学校通过不断完善引进、培养、管理、服务等人才工作环节，创设有利于教师成长进步、成就事业的良好环境，全方位提升师资队伍整体水平。</w:t>
      </w:r>
    </w:p>
    <w:p w14:paraId="5D2967A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教职工总数121人，专任教师108人，师生比达到1：19。学校具有基础课教师50人，专业课教师58人，专业课教师占全校专任教师数的54%。双师型教师30人，占全校专业课教师数的51%。具有高级专业技术职务教师19人，占全校专任教师数的18%。本科及以上学历教师共89人，具有硕士研究生学历或学位的教师共15人，占全校专任教师数的14%。</w:t>
      </w:r>
    </w:p>
    <w:p w14:paraId="515E412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实施教师成长长期计划，涵盖新教师上岗培训、教学基本功强化、现代教育技术（如课件制作）培训、师德师风专题教育、定期教科研活动（示范课、集体备课、课例研究）等，全面提升教师专业素养与教育教学能力。</w:t>
      </w:r>
    </w:p>
    <w:p w14:paraId="32B6F25A">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lang w:eastAsia="zh-CN"/>
        </w:rPr>
      </w:pPr>
    </w:p>
    <w:p w14:paraId="016DFFA9">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drawing>
          <wp:anchor distT="0" distB="0" distL="114300" distR="114300" simplePos="0" relativeHeight="251669504" behindDoc="1" locked="0" layoutInCell="1" allowOverlap="1">
            <wp:simplePos x="0" y="0"/>
            <wp:positionH relativeFrom="column">
              <wp:posOffset>47625</wp:posOffset>
            </wp:positionH>
            <wp:positionV relativeFrom="paragraph">
              <wp:posOffset>85725</wp:posOffset>
            </wp:positionV>
            <wp:extent cx="5115560" cy="3407410"/>
            <wp:effectExtent l="0" t="0" r="8890" b="2540"/>
            <wp:wrapTight wrapText="bothSides">
              <wp:wrapPolygon>
                <wp:start x="0" y="0"/>
                <wp:lineTo x="0" y="21495"/>
                <wp:lineTo x="21557" y="21495"/>
                <wp:lineTo x="21557" y="0"/>
                <wp:lineTo x="0" y="0"/>
              </wp:wrapPolygon>
            </wp:wrapTight>
            <wp:docPr id="1" name="图片 1" descr="beaf286f7016b6e63f065f41a065b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af286f7016b6e63f065f41a065b82e"/>
                    <pic:cNvPicPr>
                      <a:picLocks noChangeAspect="1"/>
                    </pic:cNvPicPr>
                  </pic:nvPicPr>
                  <pic:blipFill>
                    <a:blip r:embed="rId12"/>
                    <a:stretch>
                      <a:fillRect/>
                    </a:stretch>
                  </pic:blipFill>
                  <pic:spPr>
                    <a:xfrm>
                      <a:off x="0" y="0"/>
                      <a:ext cx="5115560" cy="3407410"/>
                    </a:xfrm>
                    <a:prstGeom prst="rect">
                      <a:avLst/>
                    </a:prstGeom>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4</w:t>
      </w:r>
      <w:r>
        <w:rPr>
          <w:rFonts w:hint="eastAsia" w:ascii="仿宋" w:hAnsi="仿宋" w:eastAsia="仿宋" w:cs="仿宋"/>
          <w:sz w:val="32"/>
          <w:szCs w:val="32"/>
          <w:highlight w:val="none"/>
        </w:rPr>
        <w:t>-教师业务培训</w:t>
      </w:r>
    </w:p>
    <w:p w14:paraId="17C343B6">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开展课件制作技术培训，每位教师能熟练地操作多媒体电教，熟悉课件制作的技术，适应于当前的教育教学。</w:t>
      </w:r>
    </w:p>
    <w:p w14:paraId="49438AC5">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position w:val="-85"/>
          <w:highlight w:val="none"/>
        </w:rPr>
        <w:drawing>
          <wp:anchor distT="0" distB="0" distL="0" distR="0" simplePos="0" relativeHeight="251670528" behindDoc="0" locked="0" layoutInCell="1" allowOverlap="1">
            <wp:simplePos x="0" y="0"/>
            <wp:positionH relativeFrom="column">
              <wp:posOffset>93980</wp:posOffset>
            </wp:positionH>
            <wp:positionV relativeFrom="paragraph">
              <wp:posOffset>306705</wp:posOffset>
            </wp:positionV>
            <wp:extent cx="5026025" cy="2583815"/>
            <wp:effectExtent l="0" t="0" r="3175" b="6985"/>
            <wp:wrapTopAndBottom/>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
                    <a:stretch>
                      <a:fillRect/>
                    </a:stretch>
                  </pic:blipFill>
                  <pic:spPr>
                    <a:xfrm>
                      <a:off x="0" y="0"/>
                      <a:ext cx="5026025" cy="2583815"/>
                    </a:xfrm>
                    <a:prstGeom prst="rect">
                      <a:avLst/>
                    </a:prstGeom>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-教师课件培训</w:t>
      </w:r>
    </w:p>
    <w:p w14:paraId="67536A0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加强师德师风建设，学习先进典型，多次召开全体教师会议，激励教师以德立身、以身立教、学为人师、行为示范，做好教师一日常规，教书育人。</w:t>
      </w:r>
    </w:p>
    <w:p w14:paraId="3982ECD3">
      <w:pPr>
        <w:keepNext w:val="0"/>
        <w:keepLines w:val="0"/>
        <w:pageBreakBefore w:val="0"/>
        <w:kinsoku/>
        <w:wordWrap/>
        <w:overflowPunct/>
        <w:topLinePunct w:val="0"/>
        <w:autoSpaceDE/>
        <w:autoSpaceDN/>
        <w:bidi w:val="0"/>
        <w:adjustRightInd/>
        <w:snapToGrid/>
        <w:spacing w:line="560" w:lineRule="exact"/>
        <w:ind w:firstLine="420" w:firstLineChars="200"/>
        <w:jc w:val="center"/>
        <w:rPr>
          <w:rFonts w:hint="eastAsia" w:ascii="仿宋" w:hAnsi="仿宋" w:eastAsia="仿宋" w:cs="仿宋"/>
          <w:sz w:val="32"/>
          <w:szCs w:val="32"/>
          <w:highlight w:val="none"/>
        </w:rPr>
      </w:pPr>
      <w:r>
        <w:rPr>
          <w:highlight w:val="none"/>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104775</wp:posOffset>
            </wp:positionV>
            <wp:extent cx="4963160" cy="3441700"/>
            <wp:effectExtent l="0" t="0" r="8890" b="635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4963160" cy="3441700"/>
                    </a:xfrm>
                    <a:prstGeom prst="rect">
                      <a:avLst/>
                    </a:prstGeom>
                    <a:noFill/>
                    <a:ln>
                      <a:noFill/>
                    </a:ln>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-全体教师会议</w:t>
      </w:r>
    </w:p>
    <w:p w14:paraId="3A6C3059">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4)做好教科研工作，定期召开教研组长例会，每周组织各教研组会议，研讨课程进度。全校开展示范课、公开课听课评课，开展集体备课、研究课例。</w:t>
      </w:r>
    </w:p>
    <w:p w14:paraId="057AB07C">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drawing>
          <wp:anchor distT="0" distB="0" distL="114300" distR="114300" simplePos="0" relativeHeight="251672576" behindDoc="0" locked="0" layoutInCell="1" allowOverlap="1">
            <wp:simplePos x="0" y="0"/>
            <wp:positionH relativeFrom="column">
              <wp:posOffset>208280</wp:posOffset>
            </wp:positionH>
            <wp:positionV relativeFrom="paragraph">
              <wp:posOffset>44450</wp:posOffset>
            </wp:positionV>
            <wp:extent cx="4467860" cy="3353435"/>
            <wp:effectExtent l="0" t="0" r="8890" b="18415"/>
            <wp:wrapTopAndBottom/>
            <wp:docPr id="7" name="图片 7" descr="90194f209297de55b426d691ec6b5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194f209297de55b426d691ec6b535b"/>
                    <pic:cNvPicPr>
                      <a:picLocks noChangeAspect="1"/>
                    </pic:cNvPicPr>
                  </pic:nvPicPr>
                  <pic:blipFill>
                    <a:blip r:embed="rId15"/>
                    <a:stretch>
                      <a:fillRect/>
                    </a:stretch>
                  </pic:blipFill>
                  <pic:spPr>
                    <a:xfrm>
                      <a:off x="0" y="0"/>
                      <a:ext cx="4467860" cy="3353435"/>
                    </a:xfrm>
                    <a:prstGeom prst="rect">
                      <a:avLst/>
                    </a:prstGeom>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-教研组长例会</w:t>
      </w:r>
    </w:p>
    <w:p w14:paraId="58D7C20E">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drawing>
          <wp:anchor distT="0" distB="0" distL="114300" distR="114300" simplePos="0" relativeHeight="251673600" behindDoc="0" locked="0" layoutInCell="1" allowOverlap="1">
            <wp:simplePos x="0" y="0"/>
            <wp:positionH relativeFrom="column">
              <wp:posOffset>27940</wp:posOffset>
            </wp:positionH>
            <wp:positionV relativeFrom="paragraph">
              <wp:posOffset>57150</wp:posOffset>
            </wp:positionV>
            <wp:extent cx="5295900" cy="3970655"/>
            <wp:effectExtent l="0" t="0" r="0" b="10795"/>
            <wp:wrapTopAndBottom/>
            <wp:docPr id="9" name="图片 9" descr="4a51303210fca409237e029eeb78e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51303210fca409237e029eeb78e27a"/>
                    <pic:cNvPicPr>
                      <a:picLocks noChangeAspect="1"/>
                    </pic:cNvPicPr>
                  </pic:nvPicPr>
                  <pic:blipFill>
                    <a:blip r:embed="rId16"/>
                    <a:stretch>
                      <a:fillRect/>
                    </a:stretch>
                  </pic:blipFill>
                  <pic:spPr>
                    <a:xfrm>
                      <a:off x="0" y="0"/>
                      <a:ext cx="5295900" cy="3970655"/>
                    </a:xfrm>
                    <a:prstGeom prst="rect">
                      <a:avLst/>
                    </a:prstGeom>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-教研组研讨</w:t>
      </w:r>
    </w:p>
    <w:p w14:paraId="297EC7F4">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sz w:val="32"/>
          <w:szCs w:val="32"/>
          <w:highlight w:val="none"/>
        </w:rPr>
      </w:pPr>
      <w:r>
        <w:rPr>
          <w:rFonts w:hint="eastAsia" w:ascii="仿宋" w:hAnsi="仿宋" w:eastAsia="仿宋" w:cs="仿宋"/>
          <w:sz w:val="32"/>
          <w:szCs w:val="32"/>
          <w:highlight w:val="none"/>
        </w:rPr>
        <w:t>3、服务贡献</w:t>
      </w:r>
    </w:p>
    <w:p w14:paraId="455791A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学校本着教育服务学生，教育服务家庭，教育服务经济，教育服务社会的原则。根据</w:t>
      </w:r>
      <w:r>
        <w:rPr>
          <w:rFonts w:hint="eastAsia" w:ascii="仿宋" w:hAnsi="仿宋" w:eastAsia="仿宋" w:cs="仿宋"/>
          <w:sz w:val="32"/>
          <w:szCs w:val="32"/>
          <w:highlight w:val="none"/>
          <w:lang w:val="en-US" w:eastAsia="zh-CN"/>
        </w:rPr>
        <w:t>各</w:t>
      </w:r>
      <w:r>
        <w:rPr>
          <w:rFonts w:hint="eastAsia" w:ascii="仿宋" w:hAnsi="仿宋" w:eastAsia="仿宋" w:cs="仿宋"/>
          <w:sz w:val="32"/>
          <w:szCs w:val="32"/>
          <w:highlight w:val="none"/>
        </w:rPr>
        <w:t>行业发展现状，设置符合行业发展规律的专业，并按照行业企业用工要求设立学生招收标准，制定符合行业企业人才需求的人才培养方案和教学大纲，为行业企业输送学业达标，理论知识扎实，技术技能过关的学生。本年度共联合</w:t>
      </w:r>
      <w:r>
        <w:rPr>
          <w:rFonts w:hint="eastAsia" w:ascii="仿宋" w:hAnsi="仿宋" w:eastAsia="仿宋" w:cs="仿宋"/>
          <w:sz w:val="32"/>
          <w:szCs w:val="32"/>
          <w:highlight w:val="none"/>
          <w:lang w:val="en-US" w:eastAsia="zh-CN"/>
        </w:rPr>
        <w:t>15</w:t>
      </w:r>
      <w:r>
        <w:rPr>
          <w:rFonts w:hint="eastAsia" w:ascii="仿宋" w:hAnsi="仿宋" w:eastAsia="仿宋" w:cs="仿宋"/>
          <w:sz w:val="32"/>
          <w:szCs w:val="32"/>
          <w:highlight w:val="none"/>
        </w:rPr>
        <w:t>家企业，推荐</w:t>
      </w:r>
      <w:r>
        <w:rPr>
          <w:rFonts w:hint="eastAsia" w:ascii="仿宋" w:hAnsi="仿宋" w:eastAsia="仿宋" w:cs="仿宋"/>
          <w:sz w:val="32"/>
          <w:szCs w:val="32"/>
          <w:highlight w:val="none"/>
          <w:lang w:val="en-US" w:eastAsia="zh-CN"/>
        </w:rPr>
        <w:t>210</w:t>
      </w:r>
      <w:r>
        <w:rPr>
          <w:rFonts w:hint="eastAsia" w:ascii="仿宋" w:hAnsi="仿宋" w:eastAsia="仿宋" w:cs="仿宋"/>
          <w:sz w:val="32"/>
          <w:szCs w:val="32"/>
          <w:highlight w:val="none"/>
        </w:rPr>
        <w:t>名学生到企业进行岗位实习，岗位实习期满后，取得毕业证，可直接在单位进行就业，签订劳动合同，缴纳社会保险。</w:t>
      </w:r>
    </w:p>
    <w:p w14:paraId="06415186">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深入探索企业岗前培训到学校的模式，单位招聘成功录取的学生，由学校提供场地，单位提供相关设备及技术技能骨干人员，在校对学生进行岗前培训。由学校教师和企业技术技能骨干人员共同管理授课，企业提前熟悉学生基本情况，便于因材施教和后期管理，学生问题及时现场解决，接受效率高，思想转变快，到岗实习稳定，实现校企双赢。</w:t>
      </w:r>
    </w:p>
    <w:p w14:paraId="1FA6AA7B">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position w:val="-113"/>
          <w:highlight w:val="none"/>
        </w:rPr>
        <w:drawing>
          <wp:anchor distT="0" distB="0" distL="0" distR="0" simplePos="0" relativeHeight="251674624" behindDoc="0" locked="0" layoutInCell="1" allowOverlap="1">
            <wp:simplePos x="0" y="0"/>
            <wp:positionH relativeFrom="column">
              <wp:posOffset>427355</wp:posOffset>
            </wp:positionH>
            <wp:positionV relativeFrom="paragraph">
              <wp:posOffset>87630</wp:posOffset>
            </wp:positionV>
            <wp:extent cx="4318000" cy="2497455"/>
            <wp:effectExtent l="0" t="0" r="6350" b="17145"/>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
                    <a:stretch>
                      <a:fillRect/>
                    </a:stretch>
                  </pic:blipFill>
                  <pic:spPr>
                    <a:xfrm>
                      <a:off x="0" y="0"/>
                      <a:ext cx="4318000" cy="2497455"/>
                    </a:xfrm>
                    <a:prstGeom prst="rect">
                      <a:avLst/>
                    </a:prstGeom>
                  </pic:spPr>
                </pic:pic>
              </a:graphicData>
            </a:graphic>
          </wp:anchor>
        </w:drawing>
      </w:r>
      <w:r>
        <w:rPr>
          <w:rFonts w:hint="eastAsia" w:ascii="仿宋" w:hAnsi="仿宋" w:eastAsia="仿宋" w:cs="仿宋"/>
          <w:sz w:val="32"/>
          <w:szCs w:val="32"/>
          <w:highlight w:val="none"/>
        </w:rPr>
        <w:t>图</w:t>
      </w:r>
      <w:r>
        <w:rPr>
          <w:rFonts w:hint="eastAsia" w:ascii="仿宋" w:hAnsi="仿宋" w:eastAsia="仿宋" w:cs="仿宋"/>
          <w:sz w:val="32"/>
          <w:szCs w:val="32"/>
          <w:highlight w:val="none"/>
          <w:lang w:val="en-US" w:eastAsia="zh-CN"/>
        </w:rPr>
        <w:t>9</w:t>
      </w:r>
      <w:r>
        <w:rPr>
          <w:rFonts w:hint="eastAsia" w:ascii="仿宋" w:hAnsi="仿宋" w:eastAsia="仿宋" w:cs="仿宋"/>
          <w:sz w:val="32"/>
          <w:szCs w:val="32"/>
          <w:highlight w:val="none"/>
        </w:rPr>
        <w:t>-就业单位</w:t>
      </w:r>
    </w:p>
    <w:p w14:paraId="06FD712B">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position w:val="-93"/>
          <w:highlight w:val="none"/>
        </w:rPr>
        <w:drawing>
          <wp:anchor distT="0" distB="0" distL="0" distR="0" simplePos="0" relativeHeight="251675648" behindDoc="0" locked="0" layoutInCell="1" allowOverlap="1">
            <wp:simplePos x="0" y="0"/>
            <wp:positionH relativeFrom="column">
              <wp:posOffset>476250</wp:posOffset>
            </wp:positionH>
            <wp:positionV relativeFrom="paragraph">
              <wp:posOffset>78105</wp:posOffset>
            </wp:positionV>
            <wp:extent cx="4161155" cy="3105785"/>
            <wp:effectExtent l="0" t="0" r="10795" b="18415"/>
            <wp:wrapTopAndBottom/>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8"/>
                    <a:stretch>
                      <a:fillRect/>
                    </a:stretch>
                  </pic:blipFill>
                  <pic:spPr>
                    <a:xfrm>
                      <a:off x="0" y="0"/>
                      <a:ext cx="4161155" cy="3105785"/>
                    </a:xfrm>
                    <a:prstGeom prst="rect">
                      <a:avLst/>
                    </a:prstGeom>
                  </pic:spPr>
                </pic:pic>
              </a:graphicData>
            </a:graphic>
          </wp:anchor>
        </w:drawing>
      </w:r>
      <w:r>
        <w:rPr>
          <w:rFonts w:hint="eastAsia" w:ascii="仿宋" w:hAnsi="仿宋" w:eastAsia="仿宋" w:cs="仿宋"/>
          <w:sz w:val="32"/>
          <w:szCs w:val="32"/>
          <w:highlight w:val="none"/>
        </w:rPr>
        <w:t>图1</w:t>
      </w:r>
      <w:r>
        <w:rPr>
          <w:rFonts w:hint="eastAsia" w:ascii="仿宋" w:hAnsi="仿宋" w:eastAsia="仿宋" w:cs="仿宋"/>
          <w:sz w:val="32"/>
          <w:szCs w:val="32"/>
          <w:highlight w:val="none"/>
          <w:lang w:val="en-US" w:eastAsia="zh-CN"/>
        </w:rPr>
        <w:t>0</w:t>
      </w:r>
      <w:r>
        <w:rPr>
          <w:rFonts w:hint="eastAsia" w:ascii="仿宋" w:hAnsi="仿宋" w:eastAsia="仿宋" w:cs="仿宋"/>
          <w:sz w:val="32"/>
          <w:szCs w:val="32"/>
          <w:highlight w:val="none"/>
        </w:rPr>
        <w:t>校企合作培训</w:t>
      </w:r>
    </w:p>
    <w:p w14:paraId="6F7B4E10">
      <w:pPr>
        <w:keepNext w:val="0"/>
        <w:keepLines w:val="0"/>
        <w:pageBreakBefore w:val="0"/>
        <w:numPr>
          <w:ilvl w:val="0"/>
          <w:numId w:val="1"/>
        </w:numPr>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文化传承</w:t>
      </w:r>
    </w:p>
    <w:p w14:paraId="13D33614">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文化传承是职业教育落实立德树人根本任务的灵魂工程，也是培养学生家国情怀、文化自信与职业精神的关键路径。我校深刻认识到，技术技能的传授必须与价值引领、文化熏陶紧密结合。2024-2025学年，学校立足自身“军事化管理”的鲜明特色，系统构建了“传统为根、红色为魂、校园为体”的三维文化育人体系，旨在将中华优秀传统文化、革命文化与社会主义先进文化有机融入人才培养全过程，塑造学生高尚品德、坚韧意志与卓越技能相统一的健全人格，为学生的终身发展与成长奠基。</w:t>
      </w:r>
    </w:p>
    <w:p w14:paraId="5674B800">
      <w:pPr>
        <w:keepNext w:val="0"/>
        <w:keepLines w:val="0"/>
        <w:pageBreakBefore w:val="0"/>
        <w:kinsoku/>
        <w:wordWrap/>
        <w:overflowPunct/>
        <w:topLinePunct w:val="0"/>
        <w:autoSpaceDE/>
        <w:autoSpaceDN/>
        <w:bidi w:val="0"/>
        <w:adjustRightInd/>
        <w:snapToGrid/>
        <w:spacing w:line="560" w:lineRule="exact"/>
        <w:ind w:firstLine="641" w:firstLineChars="200"/>
        <w:jc w:val="left"/>
        <w:outlineLvl w:val="1"/>
        <w:rPr>
          <w:rFonts w:hint="eastAsia" w:ascii="楷体_GB2312" w:hAnsi="楷体_GB2312" w:eastAsia="楷体_GB2312" w:cs="楷体_GB2312"/>
          <w:b/>
          <w:bCs/>
          <w:color w:val="000000"/>
          <w:kern w:val="0"/>
          <w:sz w:val="32"/>
          <w:szCs w:val="32"/>
          <w:highlight w:val="none"/>
          <w:lang w:val="en-US" w:eastAsia="zh-CN"/>
        </w:rPr>
      </w:pPr>
      <w:bookmarkStart w:id="0" w:name="_Toc29178"/>
      <w:r>
        <w:rPr>
          <w:rFonts w:hint="eastAsia" w:ascii="楷体_GB2312" w:hAnsi="楷体_GB2312" w:eastAsia="楷体_GB2312" w:cs="楷体_GB2312"/>
          <w:b/>
          <w:bCs/>
          <w:color w:val="000000"/>
          <w:kern w:val="0"/>
          <w:sz w:val="32"/>
          <w:szCs w:val="32"/>
          <w:highlight w:val="none"/>
          <w:lang w:val="en-US" w:eastAsia="zh-CN"/>
        </w:rPr>
        <w:t>4.1 传承中华优秀传统文化</w:t>
      </w:r>
      <w:bookmarkEnd w:id="0"/>
    </w:p>
    <w:p w14:paraId="1B4A0137">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充实课程体系，打造精品课程。在课程开发方面，要根据社会主义核心价值观来甄别分类，坚持整合高职教育的发展形势，同时结合高职学生学习特点进行通俗易懂的解读，充实完善“职业素质提升”“工匠精神培育”“职业生涯发展规划”等专题，构建形成有利于传承中华文化和学生个体发展的高职传统文化课程体系。在课程创新方面，还要从学生感兴趣的方面切入实施，通过运用优秀传统文化的逻辑和思想处理面对现实发展中所遇到的求职就业、职业发展等困境和疑惑，不断提升道德修养和文化内涵，健全人格，明辨是非，内退清美丑善恶。特别要以提高学生持续发展能力为核心，多方整合资源、协调推进，围绕培养高素质技术技能型人才，打造致力提高职业素养和培育工匠精神的精品传统文化教育课程。</w:t>
      </w:r>
    </w:p>
    <w:p w14:paraId="438F9879">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1" w:name="_Toc2838"/>
      <w:r>
        <w:rPr>
          <w:rFonts w:hint="eastAsia" w:ascii="仿宋_GB2312" w:hAnsi="仿宋_GB2312" w:eastAsia="仿宋_GB2312" w:cs="仿宋_GB2312"/>
          <w:b/>
          <w:bCs/>
          <w:color w:val="000000"/>
          <w:kern w:val="0"/>
          <w:sz w:val="32"/>
          <w:szCs w:val="32"/>
          <w:highlight w:val="none"/>
          <w:lang w:val="en-US" w:eastAsia="zh-CN"/>
        </w:rPr>
        <w:t>4.1.1 特色专业深度承载，实现活态传承。</w:t>
      </w:r>
      <w:bookmarkEnd w:id="1"/>
    </w:p>
    <w:p w14:paraId="20A8860C">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学校充分发挥专业教学的育人主渠道作用，将传统文化传承与专业技能培养深度融合。</w:t>
      </w:r>
    </w:p>
    <w:p w14:paraId="78E7CB4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民族音乐与舞蹈专业：该专业不仅是艺术技能的传授平台，更是非物质文化遗产的传承基地。学生学习古典舞、民族民间舞，并深入理解乐曲、舞蹈背后的历史故事、文化寓意与审美精神。通过排练与演出《茉莉花》、《梁祝》等经典曲目，以及地方特色的民间舞蹈，学生亲身感受中华艺术的博大精深与独特魅力。专业教师注重引导学生从“技”的层面上升到“艺”和“道”的领悟，培养其成为具有文化自觉的传承者。</w:t>
      </w:r>
    </w:p>
    <w:p w14:paraId="0F694B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运动训练专业（武术方向）：武术是中华传统文化瑰宝。学校将长拳、棍术、太极拳、舞狮等传统武术项目作为核心课程，不仅训练学生的身体素质与攻防技巧，更注重武德教育。教学中强调“习武先习德”，讲授武术礼仪、门派源流、侠义精神，将“尊师重道、扶危济困、自强不息”等传统美德内化于学生心中。定期举办的武术汇演，不仅展示了教学成果，更向全校师生传递了尚武崇德的文化精神。</w:t>
      </w:r>
    </w:p>
    <w:p w14:paraId="1DB1823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经典诵读与书法研习：面向全体学生，利用早读、社团活动时间，开展《弟子规》、《论语》选篇、经典诗词的诵读活动。开设书法兴趣小组，让学生在一笔一画的临摹中静心养性，体会汉字的结构之美与书法艺术的神韵，感悟中华文化的深厚底蕴。</w:t>
      </w:r>
    </w:p>
    <w:p w14:paraId="4147CE5E">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2" w:name="_Toc16549"/>
      <w:r>
        <w:rPr>
          <w:rFonts w:hint="eastAsia" w:ascii="仿宋_GB2312" w:hAnsi="仿宋_GB2312" w:eastAsia="仿宋_GB2312" w:cs="仿宋_GB2312"/>
          <w:b/>
          <w:bCs/>
          <w:color w:val="000000"/>
          <w:kern w:val="0"/>
          <w:sz w:val="32"/>
          <w:szCs w:val="32"/>
          <w:highlight w:val="none"/>
          <w:lang w:val="en-US" w:eastAsia="zh-CN"/>
        </w:rPr>
        <w:t>4.1.2 传统节日主题活动，营造浓厚氛围</w:t>
      </w:r>
      <w:bookmarkEnd w:id="2"/>
    </w:p>
    <w:p w14:paraId="013FC877">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学校以春节、清明节、端午节、中秋节、重阳节等中华传统节日为契机，精心设计主题教育活动。</w:t>
      </w:r>
    </w:p>
    <w:p w14:paraId="5F1E10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highlight w:val="none"/>
          <w:lang w:val="en-US" w:eastAsia="zh-CN"/>
        </w:rPr>
      </w:pPr>
      <w:r>
        <w:rPr>
          <w:rFonts w:hint="eastAsia" w:eastAsia="仿宋_GB2312"/>
          <w:color w:val="000000"/>
          <w:kern w:val="0"/>
          <w:sz w:val="32"/>
          <w:szCs w:val="32"/>
          <w:highlight w:val="none"/>
          <w:lang w:val="en-US" w:eastAsia="zh-CN"/>
        </w:rPr>
        <w:t>清明缅怀先烈与感恩教育：组织学生前往西柏坡敬献鲜花，聆听英雄事迹，缅怀先烈，将慎终追远的传统与爱国主义教育相结合。</w:t>
      </w:r>
    </w:p>
    <w:p w14:paraId="76D4CC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端午粽情与爱国情怀：举办端午节文化讲座，讲述屈原故事与端午节的由来，组织师生共同包粽子、制作香囊，在劳动体验中感受节日习俗，体味其中蕴含的家国情怀与民族精神。</w:t>
      </w:r>
    </w:p>
    <w:p w14:paraId="080B22FE">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中秋团圆与校园温情：对于在校学生，学校组织中秋晚会、分享月饼、寄送家书等活动，缓解学生的思乡之情，营造“学校如家”的温暖氛围，弘扬团圆、和谐的文化理念。</w:t>
      </w:r>
    </w:p>
    <w:p w14:paraId="044E159A">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春节文化展示与迎新：学期末，组织学生书写春联、剪窗花、制作灯笼，举办小型传统文化游园会，让校园充满浓浓的年味，增强学生对民族传统习俗的认同与热爱。</w:t>
      </w:r>
    </w:p>
    <w:p w14:paraId="420F5613">
      <w:pPr>
        <w:keepNext w:val="0"/>
        <w:keepLines w:val="0"/>
        <w:pageBreakBefore w:val="0"/>
        <w:kinsoku/>
        <w:wordWrap/>
        <w:overflowPunct/>
        <w:topLinePunct w:val="0"/>
        <w:autoSpaceDE/>
        <w:autoSpaceDN/>
        <w:bidi w:val="0"/>
        <w:adjustRightInd/>
        <w:snapToGrid/>
        <w:spacing w:line="560" w:lineRule="exact"/>
        <w:ind w:firstLine="420" w:firstLineChars="200"/>
        <w:jc w:val="center"/>
        <w:outlineLvl w:val="9"/>
        <w:rPr>
          <w:rFonts w:hint="default" w:eastAsia="仿宋_GB2312"/>
          <w:color w:val="000000"/>
          <w:kern w:val="0"/>
          <w:sz w:val="32"/>
          <w:szCs w:val="32"/>
          <w:highlight w:val="none"/>
          <w:lang w:val="en-US" w:eastAsia="zh-CN"/>
        </w:rPr>
      </w:pPr>
      <w:r>
        <w:rPr>
          <w:position w:val="-97"/>
          <w:highlight w:val="none"/>
        </w:rPr>
        <w:drawing>
          <wp:anchor distT="0" distB="0" distL="0" distR="0" simplePos="0" relativeHeight="251664384" behindDoc="1" locked="0" layoutInCell="1" allowOverlap="1">
            <wp:simplePos x="0" y="0"/>
            <wp:positionH relativeFrom="column">
              <wp:posOffset>93980</wp:posOffset>
            </wp:positionH>
            <wp:positionV relativeFrom="paragraph">
              <wp:posOffset>83185</wp:posOffset>
            </wp:positionV>
            <wp:extent cx="5118735" cy="2876550"/>
            <wp:effectExtent l="0" t="0" r="5715" b="0"/>
            <wp:wrapTight wrapText="bothSides">
              <wp:wrapPolygon>
                <wp:start x="0" y="0"/>
                <wp:lineTo x="0" y="21457"/>
                <wp:lineTo x="21544" y="21457"/>
                <wp:lineTo x="21544" y="0"/>
                <wp:lineTo x="0" y="0"/>
              </wp:wrapPolygon>
            </wp:wrapTight>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9"/>
                    <a:stretch>
                      <a:fillRect/>
                    </a:stretch>
                  </pic:blipFill>
                  <pic:spPr>
                    <a:xfrm>
                      <a:off x="0" y="0"/>
                      <a:ext cx="5118735" cy="2876550"/>
                    </a:xfrm>
                    <a:prstGeom prst="rect">
                      <a:avLst/>
                    </a:prstGeom>
                  </pic:spPr>
                </pic:pic>
              </a:graphicData>
            </a:graphic>
          </wp:anchor>
        </w:drawing>
      </w:r>
      <w:r>
        <w:rPr>
          <w:rFonts w:hint="eastAsia" w:eastAsia="仿宋_GB2312"/>
          <w:color w:val="000000"/>
          <w:kern w:val="0"/>
          <w:sz w:val="32"/>
          <w:szCs w:val="32"/>
          <w:highlight w:val="none"/>
          <w:lang w:val="en-US" w:eastAsia="zh-CN"/>
        </w:rPr>
        <w:t>图11--公益行动</w:t>
      </w:r>
    </w:p>
    <w:p w14:paraId="1F32F897">
      <w:pPr>
        <w:keepNext w:val="0"/>
        <w:keepLines w:val="0"/>
        <w:pageBreakBefore w:val="0"/>
        <w:kinsoku/>
        <w:wordWrap/>
        <w:overflowPunct/>
        <w:topLinePunct w:val="0"/>
        <w:autoSpaceDE/>
        <w:autoSpaceDN/>
        <w:bidi w:val="0"/>
        <w:adjustRightInd/>
        <w:snapToGrid/>
        <w:spacing w:line="560" w:lineRule="exact"/>
        <w:ind w:firstLine="420" w:firstLineChars="200"/>
        <w:jc w:val="left"/>
        <w:outlineLvl w:val="9"/>
        <w:rPr>
          <w:rFonts w:hint="eastAsia"/>
          <w:position w:val="-97"/>
          <w:highlight w:val="none"/>
          <w:lang w:val="en-US" w:eastAsia="zh-CN"/>
        </w:rPr>
      </w:pPr>
      <w:bookmarkStart w:id="3" w:name="_Toc12227"/>
    </w:p>
    <w:p w14:paraId="15CFFA66">
      <w:pPr>
        <w:keepNext w:val="0"/>
        <w:keepLines w:val="0"/>
        <w:pageBreakBefore w:val="0"/>
        <w:kinsoku/>
        <w:wordWrap/>
        <w:overflowPunct/>
        <w:topLinePunct w:val="0"/>
        <w:autoSpaceDE/>
        <w:autoSpaceDN/>
        <w:bidi w:val="0"/>
        <w:adjustRightInd/>
        <w:snapToGrid/>
        <w:spacing w:line="560" w:lineRule="exact"/>
        <w:ind w:firstLine="420" w:firstLineChars="200"/>
        <w:jc w:val="left"/>
        <w:outlineLvl w:val="9"/>
        <w:rPr>
          <w:rFonts w:hint="eastAsia"/>
          <w:position w:val="-97"/>
          <w:highlight w:val="none"/>
          <w:lang w:val="en-US" w:eastAsia="zh-CN"/>
        </w:rPr>
      </w:pPr>
      <w:r>
        <w:rPr>
          <w:rFonts w:hint="eastAsia"/>
          <w:position w:val="-97"/>
          <w:highlight w:val="none"/>
          <w:lang w:val="en-US" w:eastAsia="zh-CN"/>
        </w:rPr>
        <w:t xml:space="preserve"> </w:t>
      </w:r>
    </w:p>
    <w:p w14:paraId="1BD29C35">
      <w:pPr>
        <w:keepNext w:val="0"/>
        <w:keepLines w:val="0"/>
        <w:pageBreakBefore w:val="0"/>
        <w:kinsoku/>
        <w:wordWrap/>
        <w:overflowPunct/>
        <w:topLinePunct w:val="0"/>
        <w:autoSpaceDE/>
        <w:autoSpaceDN/>
        <w:bidi w:val="0"/>
        <w:adjustRightInd/>
        <w:snapToGrid/>
        <w:spacing w:line="560" w:lineRule="exact"/>
        <w:ind w:firstLine="420" w:firstLineChars="200"/>
        <w:jc w:val="left"/>
        <w:outlineLvl w:val="9"/>
        <w:rPr>
          <w:rFonts w:hint="eastAsia"/>
          <w:position w:val="-97"/>
          <w:highlight w:val="none"/>
          <w:lang w:val="en-US" w:eastAsia="zh-CN"/>
        </w:rPr>
      </w:pPr>
    </w:p>
    <w:p w14:paraId="5F168614">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9"/>
        <w:rPr>
          <w:rFonts w:hint="eastAsia" w:ascii="仿宋_GB2312" w:hAnsi="仿宋_GB2312" w:eastAsia="仿宋_GB2312" w:cs="仿宋_GB2312"/>
          <w:b/>
          <w:bCs/>
          <w:color w:val="000000"/>
          <w:kern w:val="0"/>
          <w:sz w:val="32"/>
          <w:szCs w:val="32"/>
          <w:highlight w:val="none"/>
          <w:lang w:val="en-US" w:eastAsia="zh-CN"/>
        </w:rPr>
      </w:pPr>
      <w:r>
        <w:rPr>
          <w:rFonts w:hint="eastAsia" w:ascii="仿宋_GB2312" w:hAnsi="仿宋_GB2312" w:eastAsia="仿宋_GB2312" w:cs="仿宋_GB2312"/>
          <w:b/>
          <w:bCs/>
          <w:color w:val="000000"/>
          <w:kern w:val="0"/>
          <w:sz w:val="32"/>
          <w:szCs w:val="32"/>
          <w:highlight w:val="none"/>
          <w:lang w:val="en-US" w:eastAsia="zh-CN"/>
        </w:rPr>
        <w:t>4.1.3 环境浸润与隐性教育</w:t>
      </w:r>
      <w:bookmarkEnd w:id="3"/>
    </w:p>
    <w:p w14:paraId="14A3B49A">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校园环境是无声的育人载体。学校在走廊、宣传栏、教室等场所，布置展示中华传统美德格言、历史人物故事。通过这些静态的文化符号，营造出“目之所及，皆有文化”的环境，让学生在潜移默化中受到熏陶。</w:t>
      </w:r>
    </w:p>
    <w:p w14:paraId="0FA73FB4">
      <w:pPr>
        <w:keepNext w:val="0"/>
        <w:keepLines w:val="0"/>
        <w:pageBreakBefore w:val="0"/>
        <w:kinsoku/>
        <w:wordWrap/>
        <w:overflowPunct/>
        <w:topLinePunct w:val="0"/>
        <w:autoSpaceDE/>
        <w:autoSpaceDN/>
        <w:bidi w:val="0"/>
        <w:adjustRightInd/>
        <w:snapToGrid/>
        <w:spacing w:line="560" w:lineRule="exact"/>
        <w:ind w:firstLine="641" w:firstLineChars="200"/>
        <w:jc w:val="left"/>
        <w:outlineLvl w:val="1"/>
        <w:rPr>
          <w:rFonts w:hint="eastAsia" w:ascii="楷体_GB2312" w:hAnsi="楷体_GB2312" w:eastAsia="楷体_GB2312" w:cs="楷体_GB2312"/>
          <w:b/>
          <w:bCs/>
          <w:color w:val="000000"/>
          <w:kern w:val="0"/>
          <w:sz w:val="32"/>
          <w:szCs w:val="32"/>
          <w:highlight w:val="none"/>
          <w:lang w:val="en-US" w:eastAsia="zh-CN"/>
        </w:rPr>
      </w:pPr>
      <w:bookmarkStart w:id="4" w:name="_Toc15289"/>
      <w:r>
        <w:rPr>
          <w:rFonts w:hint="eastAsia" w:ascii="楷体_GB2312" w:hAnsi="楷体_GB2312" w:eastAsia="楷体_GB2312" w:cs="楷体_GB2312"/>
          <w:b/>
          <w:bCs/>
          <w:color w:val="000000"/>
          <w:kern w:val="0"/>
          <w:sz w:val="32"/>
          <w:szCs w:val="32"/>
          <w:highlight w:val="none"/>
          <w:lang w:val="en-US" w:eastAsia="zh-CN"/>
        </w:rPr>
        <w:t>4.2 延续革命精神与红色血脉</w:t>
      </w:r>
      <w:bookmarkEnd w:id="4"/>
    </w:p>
    <w:p w14:paraId="4F3892C9">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学校将革命传统教育作为思想政治教育的核心内容，引导学生深刻理解红色政权来之不易、新中国来之不易、中国特色社会主义来之不易，传承红色基因，当好时代新人。</w:t>
      </w:r>
    </w:p>
    <w:p w14:paraId="11FD9D17">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5" w:name="_Toc12757"/>
      <w:r>
        <w:rPr>
          <w:rFonts w:hint="eastAsia" w:ascii="仿宋_GB2312" w:hAnsi="仿宋_GB2312" w:eastAsia="仿宋_GB2312" w:cs="仿宋_GB2312"/>
          <w:b/>
          <w:bCs/>
          <w:color w:val="000000"/>
          <w:kern w:val="0"/>
          <w:sz w:val="32"/>
          <w:szCs w:val="32"/>
          <w:highlight w:val="none"/>
          <w:lang w:val="en-US" w:eastAsia="zh-CN"/>
        </w:rPr>
        <w:t>4.2.1 “军事化管理”常态化传承部队优良作风</w:t>
      </w:r>
      <w:bookmarkEnd w:id="5"/>
    </w:p>
    <w:p w14:paraId="2522D14A">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学校的准军事化管理模式，本身就是革命文化中“纪律严明、作风过硬、勇于奉献”精神的当代实践与传承。</w:t>
      </w:r>
    </w:p>
    <w:p w14:paraId="3DD4FE91">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纪律养成与意志锤炼：每日严格的作息制度、内务卫生标准、队列训练和集会要求，并非简单的行为约束，而是旨在锻造学生如军人般的组织性、纪律性和集体荣誉感。在日复一日的坚持中，培养学生吃苦耐劳、令行禁止、团结协作的优良品质，这些正是革命军队克敌制胜的重要法宝在和平年代学子身上的体现。</w:t>
      </w:r>
    </w:p>
    <w:p w14:paraId="1D6661DF">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国防教育与家国情怀：定期邀请退役军人、军事专家进校开展国防教育讲座，介绍国家安全形势、人民军队光荣历史与新时代强军成就。组织观看《长津湖》、《建党伟业》等优秀军事、历史题材影片，并开展观后感讨论。这些活动将宏大的国家叙事与个人纪律养成相结合，极大地激发了学生的爱国热情和保卫祖国的责任感，使“天下兴亡，匹夫有责”的观念深入人心。</w:t>
      </w:r>
    </w:p>
    <w:p w14:paraId="6EED6CDA">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仪式教育强化使命感：每周举行庄严的升旗仪式，由经过严格训练的学生护旗方队执行；在新生入学、重大活动时举行宣誓仪式。这些充满仪式感的环节，营造出严肃崇敬的氛围，强化学生的国家认同和组织归属感。</w:t>
      </w:r>
    </w:p>
    <w:p w14:paraId="467EA975">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6" w:name="_Toc20408"/>
      <w:r>
        <w:rPr>
          <w:rFonts w:hint="eastAsia" w:ascii="仿宋_GB2312" w:hAnsi="仿宋_GB2312" w:eastAsia="仿宋_GB2312" w:cs="仿宋_GB2312"/>
          <w:b/>
          <w:bCs/>
          <w:color w:val="000000"/>
          <w:kern w:val="0"/>
          <w:sz w:val="32"/>
          <w:szCs w:val="32"/>
          <w:highlight w:val="none"/>
          <w:lang w:val="en-US" w:eastAsia="zh-CN"/>
        </w:rPr>
        <w:t>4.2.2 重大历史纪念日主题教育深入人心</w:t>
      </w:r>
      <w:bookmarkEnd w:id="6"/>
    </w:p>
    <w:p w14:paraId="1BC0E45C">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抓住关键时间节点，开展沉浸式、体验式的革命传统教育。</w:t>
      </w:r>
    </w:p>
    <w:p w14:paraId="32504E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九一八”事变、南京大屠杀死难者国家公祭日纪念活动：通过拉响防空警报、集体默哀、召开主题班会、举办历史图片展等形式，警醒师生铭记历史、勿忘国耻、缅怀先烈、珍爱和平，激发为实现中华民族伟大复兴而奋斗的使命感。</w:t>
      </w:r>
    </w:p>
    <w:p w14:paraId="2DB8D44D">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outlineLvl w:val="9"/>
        <w:rPr>
          <w:rFonts w:hint="eastAsia" w:ascii="仿宋" w:hAnsi="仿宋" w:eastAsia="仿宋" w:cs="仿宋"/>
          <w:sz w:val="28"/>
          <w:szCs w:val="36"/>
          <w:highlight w:val="none"/>
          <w:lang w:val="en-US" w:eastAsia="zh-CN"/>
        </w:rPr>
      </w:pPr>
      <w:r>
        <w:rPr>
          <w:rFonts w:hint="eastAsia" w:ascii="仿宋" w:hAnsi="仿宋" w:eastAsia="仿宋" w:cs="仿宋"/>
          <w:color w:val="000000"/>
          <w:kern w:val="0"/>
          <w:sz w:val="44"/>
          <w:szCs w:val="44"/>
          <w:highlight w:val="none"/>
          <w:lang w:val="en-US" w:eastAsia="zh-CN"/>
        </w:rPr>
        <w:drawing>
          <wp:anchor distT="0" distB="0" distL="114300" distR="114300" simplePos="0" relativeHeight="251676672" behindDoc="0" locked="0" layoutInCell="1" allowOverlap="1">
            <wp:simplePos x="0" y="0"/>
            <wp:positionH relativeFrom="column">
              <wp:posOffset>392430</wp:posOffset>
            </wp:positionH>
            <wp:positionV relativeFrom="paragraph">
              <wp:posOffset>148590</wp:posOffset>
            </wp:positionV>
            <wp:extent cx="4140200" cy="2528570"/>
            <wp:effectExtent l="0" t="0" r="12700" b="5080"/>
            <wp:wrapTopAndBottom/>
            <wp:docPr id="27" name="图片 27" descr="db1c41382924f0e42a5e010cf706e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b1c41382924f0e42a5e010cf706e5e0"/>
                    <pic:cNvPicPr>
                      <a:picLocks noChangeAspect="1"/>
                    </pic:cNvPicPr>
                  </pic:nvPicPr>
                  <pic:blipFill>
                    <a:blip r:embed="rId20">
                      <a:lum bright="12000" contrast="12000"/>
                    </a:blip>
                    <a:stretch>
                      <a:fillRect/>
                    </a:stretch>
                  </pic:blipFill>
                  <pic:spPr>
                    <a:xfrm>
                      <a:off x="0" y="0"/>
                      <a:ext cx="4140200" cy="2528570"/>
                    </a:xfrm>
                    <a:prstGeom prst="rect">
                      <a:avLst/>
                    </a:prstGeom>
                  </pic:spPr>
                </pic:pic>
              </a:graphicData>
            </a:graphic>
          </wp:anchor>
        </w:drawing>
      </w:r>
      <w:r>
        <w:rPr>
          <w:rFonts w:hint="eastAsia" w:ascii="仿宋" w:hAnsi="仿宋" w:eastAsia="仿宋" w:cs="仿宋"/>
          <w:sz w:val="28"/>
          <w:szCs w:val="36"/>
          <w:highlight w:val="none"/>
        </w:rPr>
        <w:t xml:space="preserve">图 </w:t>
      </w:r>
      <w:r>
        <w:rPr>
          <w:rFonts w:hint="eastAsia" w:ascii="仿宋" w:hAnsi="仿宋" w:eastAsia="仿宋" w:cs="仿宋"/>
          <w:sz w:val="28"/>
          <w:szCs w:val="36"/>
          <w:highlight w:val="none"/>
        </w:rPr>
        <w:fldChar w:fldCharType="begin"/>
      </w:r>
      <w:r>
        <w:rPr>
          <w:rFonts w:hint="eastAsia" w:ascii="仿宋" w:hAnsi="仿宋" w:eastAsia="仿宋" w:cs="仿宋"/>
          <w:sz w:val="28"/>
          <w:szCs w:val="36"/>
          <w:highlight w:val="none"/>
        </w:rPr>
        <w:instrText xml:space="preserve"> SEQ 图 \* ARABIC </w:instrText>
      </w:r>
      <w:r>
        <w:rPr>
          <w:rFonts w:hint="eastAsia" w:ascii="仿宋" w:hAnsi="仿宋" w:eastAsia="仿宋" w:cs="仿宋"/>
          <w:sz w:val="28"/>
          <w:szCs w:val="36"/>
          <w:highlight w:val="none"/>
        </w:rPr>
        <w:fldChar w:fldCharType="separate"/>
      </w:r>
      <w:r>
        <w:rPr>
          <w:rFonts w:hint="eastAsia" w:ascii="仿宋" w:hAnsi="仿宋" w:eastAsia="仿宋" w:cs="仿宋"/>
          <w:sz w:val="28"/>
          <w:szCs w:val="36"/>
          <w:highlight w:val="none"/>
          <w:lang w:val="en-US" w:eastAsia="zh-CN"/>
        </w:rPr>
        <w:t>1</w:t>
      </w:r>
      <w:r>
        <w:rPr>
          <w:rFonts w:hint="eastAsia" w:ascii="仿宋" w:hAnsi="仿宋" w:eastAsia="仿宋" w:cs="仿宋"/>
          <w:sz w:val="28"/>
          <w:szCs w:val="36"/>
          <w:highlight w:val="none"/>
        </w:rPr>
        <w:fldChar w:fldCharType="end"/>
      </w:r>
      <w:bookmarkStart w:id="7" w:name="_Toc23072"/>
      <w:r>
        <w:rPr>
          <w:rFonts w:hint="eastAsia" w:ascii="仿宋" w:hAnsi="仿宋" w:eastAsia="仿宋" w:cs="仿宋"/>
          <w:sz w:val="28"/>
          <w:szCs w:val="36"/>
          <w:highlight w:val="none"/>
          <w:lang w:val="en-US" w:eastAsia="zh-CN"/>
        </w:rPr>
        <w:t>2  2024年12月 国家公祭日活动</w:t>
      </w:r>
      <w:bookmarkEnd w:id="7"/>
    </w:p>
    <w:p w14:paraId="4A633A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“一二·九”运动纪念活动：组织演讲比赛、爱国诗词朗诵会，回顾青年学生的爱国壮举，引导当代中职生思考如何将爱国情、强国志转化为勤学苦练、技能报国的实际行动。</w:t>
      </w:r>
    </w:p>
    <w:p w14:paraId="0C5E8E60">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建党纪念日、国庆节系列活动：在“七一”、“十一”前后，开展“党课开讲啦”、“我与国旗合个影”、“红色歌曲合唱比赛”、“喜迎国庆板报评比”等活动，热情讴歌党的丰功伟绩和新中国建设的伟大成就，坚定不移跟党走中国特色社会主义道路的信心。</w:t>
      </w:r>
    </w:p>
    <w:p w14:paraId="16219576">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8" w:name="_Toc19164"/>
      <w:r>
        <w:rPr>
          <w:rFonts w:hint="eastAsia" w:ascii="仿宋_GB2312" w:hAnsi="仿宋_GB2312" w:eastAsia="仿宋_GB2312" w:cs="仿宋_GB2312"/>
          <w:b/>
          <w:bCs/>
          <w:color w:val="000000"/>
          <w:kern w:val="0"/>
          <w:sz w:val="32"/>
          <w:szCs w:val="32"/>
          <w:highlight w:val="none"/>
          <w:lang w:val="en-US" w:eastAsia="zh-CN"/>
        </w:rPr>
        <w:t>4.2.3 红色研学与实践走深走实</w:t>
      </w:r>
      <w:bookmarkEnd w:id="8"/>
    </w:p>
    <w:p w14:paraId="0D74F723">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学校努力创造条件，让学生走出校园，在实地实景中接受精神洗礼。</w:t>
      </w:r>
    </w:p>
    <w:p w14:paraId="0D7DB2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红色教育基地研学：充分利用石家庄及周边丰富的红色资源，如西柏坡中共中央旧址、华北军区烈士陵园、石家庄解放纪念馆等，组织学生开展研学实践活动。通过实地参观、聆听讲解、重温入团誓词、撰写研学报告等方式，让学生近距离触摸历史，深刻理解“新中国从这里走来”的深邃内涵，学习老一辈革命家艰苦奋斗、敢于胜利的精神。</w:t>
      </w:r>
    </w:p>
    <w:p w14:paraId="3D867706">
      <w:pPr>
        <w:keepNext w:val="0"/>
        <w:keepLines w:val="0"/>
        <w:pageBreakBefore w:val="0"/>
        <w:widowControl w:val="0"/>
        <w:kinsoku/>
        <w:wordWrap/>
        <w:overflowPunct/>
        <w:topLinePunct w:val="0"/>
        <w:autoSpaceDE/>
        <w:autoSpaceDN/>
        <w:bidi w:val="0"/>
        <w:adjustRightInd/>
        <w:snapToGrid/>
        <w:spacing w:line="560" w:lineRule="exact"/>
        <w:ind w:firstLine="960" w:firstLineChars="200"/>
        <w:jc w:val="center"/>
        <w:textAlignment w:val="auto"/>
        <w:outlineLvl w:val="9"/>
        <w:rPr>
          <w:rFonts w:hint="eastAsia" w:ascii="仿宋" w:hAnsi="仿宋" w:eastAsia="仿宋" w:cs="仿宋"/>
          <w:sz w:val="32"/>
          <w:szCs w:val="40"/>
          <w:highlight w:val="none"/>
          <w:lang w:val="en-US" w:eastAsia="zh-CN"/>
        </w:rPr>
      </w:pPr>
      <w:r>
        <w:rPr>
          <w:rFonts w:hint="eastAsia" w:ascii="仿宋" w:hAnsi="仿宋" w:eastAsia="仿宋" w:cs="仿宋"/>
          <w:color w:val="000000"/>
          <w:kern w:val="0"/>
          <w:sz w:val="48"/>
          <w:szCs w:val="48"/>
          <w:highlight w:val="none"/>
          <w:lang w:val="en-US" w:eastAsia="zh-CN"/>
        </w:rPr>
        <w:drawing>
          <wp:anchor distT="0" distB="0" distL="114300" distR="114300" simplePos="0" relativeHeight="251677696" behindDoc="0" locked="0" layoutInCell="1" allowOverlap="1">
            <wp:simplePos x="0" y="0"/>
            <wp:positionH relativeFrom="column">
              <wp:posOffset>282575</wp:posOffset>
            </wp:positionH>
            <wp:positionV relativeFrom="paragraph">
              <wp:posOffset>50165</wp:posOffset>
            </wp:positionV>
            <wp:extent cx="4730115" cy="3007360"/>
            <wp:effectExtent l="0" t="0" r="13335" b="2540"/>
            <wp:wrapTopAndBottom/>
            <wp:docPr id="21" name="图片 21" descr="be0c706d9ed5b579924e344088df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e0c706d9ed5b579924e344088dff43f"/>
                    <pic:cNvPicPr>
                      <a:picLocks noChangeAspect="1"/>
                    </pic:cNvPicPr>
                  </pic:nvPicPr>
                  <pic:blipFill>
                    <a:blip r:embed="rId21">
                      <a:lum bright="6000" contrast="12000"/>
                    </a:blip>
                    <a:srcRect t="2223"/>
                    <a:stretch>
                      <a:fillRect/>
                    </a:stretch>
                  </pic:blipFill>
                  <pic:spPr>
                    <a:xfrm>
                      <a:off x="0" y="0"/>
                      <a:ext cx="4730115" cy="3007360"/>
                    </a:xfrm>
                    <a:prstGeom prst="rect">
                      <a:avLst/>
                    </a:prstGeom>
                  </pic:spPr>
                </pic:pic>
              </a:graphicData>
            </a:graphic>
          </wp:anchor>
        </w:drawing>
      </w:r>
      <w:r>
        <w:rPr>
          <w:rFonts w:hint="eastAsia" w:ascii="仿宋" w:hAnsi="仿宋" w:eastAsia="仿宋" w:cs="仿宋"/>
          <w:sz w:val="32"/>
          <w:szCs w:val="40"/>
          <w:highlight w:val="none"/>
        </w:rPr>
        <w:t xml:space="preserve">图 </w:t>
      </w:r>
      <w:bookmarkStart w:id="9" w:name="_Toc182"/>
      <w:r>
        <w:rPr>
          <w:rFonts w:hint="eastAsia" w:ascii="仿宋" w:hAnsi="仿宋" w:eastAsia="仿宋" w:cs="仿宋"/>
          <w:sz w:val="32"/>
          <w:szCs w:val="40"/>
          <w:highlight w:val="none"/>
          <w:lang w:val="en-US" w:eastAsia="zh-CN"/>
        </w:rPr>
        <w:t>13  2025年西柏坡红色教育研学活动</w:t>
      </w:r>
      <w:bookmarkEnd w:id="9"/>
    </w:p>
    <w:p w14:paraId="3AFF6BC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寻访身边英雄模范：开展“寻找身边的红色记忆”活动，鼓励学生利用假期寻访家乡的老战士、老模范、老党员，记录他们的革命经历或奋斗故事，并进行分享交流。这使红色教育更加具体可感，拉近了学生与英雄模范的心理距离。</w:t>
      </w:r>
    </w:p>
    <w:p w14:paraId="4A2E3305">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志愿服务践行宗旨：将红色精神外化为服务社会的行动。组织学生党员、团员和志愿者，利用专业技能定期到社区、敬老院开展义务志愿服务活动。在服务社会、奉献他人的实践中，体会“为人民服务”的根本宗旨，传承革命先辈的奉献精神。</w:t>
      </w:r>
    </w:p>
    <w:p w14:paraId="642EAB81">
      <w:pPr>
        <w:keepNext w:val="0"/>
        <w:keepLines w:val="0"/>
        <w:pageBreakBefore w:val="0"/>
        <w:kinsoku/>
        <w:wordWrap/>
        <w:overflowPunct/>
        <w:topLinePunct w:val="0"/>
        <w:autoSpaceDE/>
        <w:autoSpaceDN/>
        <w:bidi w:val="0"/>
        <w:adjustRightInd/>
        <w:snapToGrid/>
        <w:spacing w:line="560" w:lineRule="exact"/>
        <w:ind w:firstLine="641" w:firstLineChars="200"/>
        <w:jc w:val="left"/>
        <w:outlineLvl w:val="1"/>
        <w:rPr>
          <w:rFonts w:hint="eastAsia" w:ascii="楷体_GB2312" w:hAnsi="楷体_GB2312" w:eastAsia="楷体_GB2312" w:cs="楷体_GB2312"/>
          <w:b/>
          <w:bCs/>
          <w:color w:val="000000"/>
          <w:kern w:val="0"/>
          <w:sz w:val="32"/>
          <w:szCs w:val="32"/>
          <w:highlight w:val="none"/>
          <w:lang w:val="en-US" w:eastAsia="zh-CN"/>
        </w:rPr>
      </w:pPr>
      <w:bookmarkStart w:id="10" w:name="_Toc6842"/>
      <w:r>
        <w:rPr>
          <w:rFonts w:hint="eastAsia" w:ascii="楷体_GB2312" w:hAnsi="楷体_GB2312" w:eastAsia="楷体_GB2312" w:cs="楷体_GB2312"/>
          <w:b/>
          <w:bCs/>
          <w:color w:val="000000"/>
          <w:kern w:val="0"/>
          <w:sz w:val="32"/>
          <w:szCs w:val="32"/>
          <w:highlight w:val="none"/>
          <w:lang w:val="en-US" w:eastAsia="zh-CN"/>
        </w:rPr>
        <w:t>4.3 繁荣特色校园文化</w:t>
      </w:r>
      <w:bookmarkEnd w:id="10"/>
    </w:p>
    <w:p w14:paraId="0EB82A46">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校园文化是学校精神风貌的集中体现，是文化传承的活态载体。学校着力打造具有鲜明职教特色和科苑标识的校园文化品牌。</w:t>
      </w:r>
    </w:p>
    <w:p w14:paraId="2D91A238">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11" w:name="_Toc26670"/>
      <w:r>
        <w:rPr>
          <w:rFonts w:hint="eastAsia" w:ascii="仿宋_GB2312" w:hAnsi="仿宋_GB2312" w:eastAsia="仿宋_GB2312" w:cs="仿宋_GB2312"/>
          <w:b/>
          <w:bCs/>
          <w:color w:val="000000"/>
          <w:kern w:val="0"/>
          <w:sz w:val="32"/>
          <w:szCs w:val="32"/>
          <w:highlight w:val="none"/>
          <w:lang w:val="en-US" w:eastAsia="zh-CN"/>
        </w:rPr>
        <w:t>4.3.1 以“工匠精神”为核心的职业文化培育</w:t>
      </w:r>
      <w:bookmarkEnd w:id="11"/>
    </w:p>
    <w:p w14:paraId="3288CA85">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环境营造：在实训车间、教学楼走廊，悬挂大国工匠、劳动模范、优秀校友的画像和事迹介绍，张贴行业规范、安全操作规程、质量意识标语，营造浓厚的职业氛围。</w:t>
      </w:r>
    </w:p>
    <w:p w14:paraId="3A6D3D30">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活动载体：定期举办“技能活动周”、“职业素养大讲堂”、“优秀毕业生报告会”等活动。2025年5月成功举办的技能活动周，设置了各专业技能展示、竞赛、体验环节，弘扬了劳动光荣、技能宝贵、创造伟大的时代风尚。邀请合作企业技术能手、行业领军人物来校分享职业成长经历，诠释新时代工匠精神的内涵。</w:t>
      </w:r>
    </w:p>
    <w:p w14:paraId="5B3120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制度融入：在学生评价、评优评先中，突出对严谨认真、精益求精、专注执着等职业品质的考察，引导学生将工匠精神内化为学习态度和未来职业追求。</w:t>
      </w:r>
    </w:p>
    <w:p w14:paraId="5CA2B28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2"/>
        <w:rPr>
          <w:rFonts w:hint="eastAsia" w:ascii="仿宋_GB2312" w:hAnsi="仿宋_GB2312" w:eastAsia="仿宋_GB2312" w:cs="仿宋_GB2312"/>
          <w:b/>
          <w:bCs/>
          <w:color w:val="000000"/>
          <w:kern w:val="0"/>
          <w:sz w:val="32"/>
          <w:szCs w:val="32"/>
          <w:highlight w:val="none"/>
          <w:lang w:val="en-US" w:eastAsia="zh-CN"/>
        </w:rPr>
      </w:pPr>
      <w:bookmarkStart w:id="12" w:name="_Toc1498"/>
      <w:r>
        <w:rPr>
          <w:rFonts w:hint="eastAsia" w:ascii="仿宋_GB2312" w:hAnsi="仿宋_GB2312" w:eastAsia="仿宋_GB2312" w:cs="仿宋_GB2312"/>
          <w:b/>
          <w:bCs/>
          <w:color w:val="000000"/>
          <w:kern w:val="0"/>
          <w:sz w:val="32"/>
          <w:szCs w:val="32"/>
          <w:highlight w:val="none"/>
          <w:lang w:val="en-US" w:eastAsia="zh-CN"/>
        </w:rPr>
        <w:t>4.3.2 丰富多彩的文艺体育活动塑造阳光人格</w:t>
      </w:r>
      <w:bookmarkEnd w:id="12"/>
    </w:p>
    <w:p w14:paraId="4C35B355">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学校坚信健康的体魄与审美的心灵是学生全面发展的重要基础。</w:t>
      </w:r>
    </w:p>
    <w:p w14:paraId="38C065D4">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一年一度的秋季运动会是学校的体育盛事，设置了田径、趣味运动、武术表演等多个项目，全员参与，既是对体育教学成果的检验，更是对学生拼搏精神、团队意识和规则观念的集中锤炼。日常的课间操、篮球赛、拔河比赛等常态化体育活动，保障了学生每天锻炼时间，学生体质合格率保持高位。</w:t>
      </w:r>
    </w:p>
    <w:p w14:paraId="66455F2A">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高雅艺术活动：秋季迎新晚会、校园歌唱比赛、元旦文艺汇演、教师朗诵比赛等，为具有文艺特长的学生提供了展示才华的舞台，丰富了师生的课余生活，提升了校园文化品位。这些活动从策划、排练到演出，极大地锻炼了学生的组织协调能力和艺术表现力。</w:t>
      </w:r>
    </w:p>
    <w:p w14:paraId="711AE541">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主题社团活动：支持学生成立武术社、舞蹈社、合唱团、文学社、篮球社、计算机兴趣小组等各类社团，配备指导教师，定期开展活动。社团成为学生发展兴趣、结交朋友、自我管理的重要平台，是校园文化活力的重要源泉。</w:t>
      </w:r>
    </w:p>
    <w:p w14:paraId="3BA79707">
      <w:pPr>
        <w:keepNext w:val="0"/>
        <w:keepLines w:val="0"/>
        <w:pageBreakBefore w:val="0"/>
        <w:kinsoku/>
        <w:wordWrap/>
        <w:overflowPunct/>
        <w:topLinePunct w:val="0"/>
        <w:autoSpaceDE/>
        <w:autoSpaceDN/>
        <w:bidi w:val="0"/>
        <w:adjustRightInd/>
        <w:snapToGrid/>
        <w:spacing w:line="560" w:lineRule="exact"/>
        <w:ind w:firstLine="643" w:firstLineChars="200"/>
        <w:jc w:val="left"/>
        <w:outlineLvl w:val="2"/>
        <w:rPr>
          <w:rFonts w:hint="eastAsia" w:ascii="仿宋_GB2312" w:hAnsi="仿宋_GB2312" w:eastAsia="仿宋_GB2312" w:cs="仿宋_GB2312"/>
          <w:b/>
          <w:bCs/>
          <w:color w:val="000000"/>
          <w:kern w:val="0"/>
          <w:sz w:val="32"/>
          <w:szCs w:val="32"/>
          <w:highlight w:val="none"/>
          <w:lang w:val="en-US" w:eastAsia="zh-CN"/>
        </w:rPr>
      </w:pPr>
      <w:bookmarkStart w:id="13" w:name="_Toc9008"/>
      <w:r>
        <w:rPr>
          <w:rFonts w:hint="eastAsia" w:ascii="仿宋_GB2312" w:hAnsi="仿宋_GB2312" w:eastAsia="仿宋_GB2312" w:cs="仿宋_GB2312"/>
          <w:b/>
          <w:bCs/>
          <w:color w:val="000000"/>
          <w:kern w:val="0"/>
          <w:sz w:val="32"/>
          <w:szCs w:val="32"/>
          <w:highlight w:val="none"/>
          <w:lang w:val="en-US" w:eastAsia="zh-CN"/>
        </w:rPr>
        <w:t>4.3.3 榜样引领涵养校风学风</w:t>
      </w:r>
      <w:bookmarkEnd w:id="13"/>
    </w:p>
    <w:p w14:paraId="78CBC12D">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通过庄严的仪式和身边的榜样，传递价值导向，凝聚校园精神。</w:t>
      </w:r>
    </w:p>
    <w:p w14:paraId="76BF6117">
      <w:pPr>
        <w:keepNext w:val="0"/>
        <w:keepLines w:val="0"/>
        <w:pageBreakBefore w:val="0"/>
        <w:kinsoku/>
        <w:wordWrap/>
        <w:overflowPunct/>
        <w:topLinePunct w:val="0"/>
        <w:autoSpaceDE/>
        <w:autoSpaceDN/>
        <w:bidi w:val="0"/>
        <w:adjustRightInd/>
        <w:snapToGrid/>
        <w:spacing w:line="560" w:lineRule="exact"/>
        <w:ind w:firstLine="640" w:firstLineChars="200"/>
        <w:jc w:val="left"/>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典礼仪式育人：精心组织开学典礼、毕业典礼、国家奖学金颁奖仪式等重大典礼。这些典礼程序规范、氛围庄重，蕴含着丰富的教育意义。开学典礼明确新学年的目标与期望；毕业典礼强化感恩与责任；奖学金颁奖仪式树立标杆，激励全体学生见贤思齐。</w:t>
      </w:r>
    </w:p>
    <w:p w14:paraId="1150032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榜样在身边：大力宣传表彰在技能大赛、体育高考、志愿服务、日常管理等方面表现突出的学生个人和集体。利用宣传栏、校园网、公众号等平台，讲述他们的成长故事，用身边可亲、可敬、可学的榜样，激发广大学生的进取心，营造“比、学、赶、帮、超”的积极氛围。</w:t>
      </w:r>
    </w:p>
    <w:p w14:paraId="5F8336F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过去一学年，学校在文化传承方面进行了系统化探索与实践，初步形成了传统、红色、校园文化三位一体、协同育人的格局。军事化管理赋予了文化传承独特的纪律底色，为各类活动提供了生动的实践载体。然而，文化传承的深度与系统性仍有提升空间，如传统文化与专业课程的融合创新、红色教育资源开发的持续性、校园文化品牌的辨识度与影响力等，都需要在未来工作中进一步深化研究、加大投入、创新形式。学校将继续坚守为党育人、为国育才的初心，不断丰富文化育人内涵，创新文化育人方法，努力培养出既有扎实技能、又有深厚文化底蕴和高尚品德情操的新时代高素质技术技能人才。</w:t>
      </w:r>
    </w:p>
    <w:p w14:paraId="2BB44D68">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9"/>
        <w:rPr>
          <w:rFonts w:hint="eastAsia" w:eastAsia="仿宋_GB2312"/>
          <w:b/>
          <w:bCs/>
          <w:color w:val="000000"/>
          <w:kern w:val="0"/>
          <w:sz w:val="32"/>
          <w:szCs w:val="32"/>
          <w:highlight w:val="none"/>
          <w:lang w:val="en-US" w:eastAsia="zh-CN"/>
        </w:rPr>
      </w:pPr>
      <w:r>
        <w:rPr>
          <w:rFonts w:hint="eastAsia" w:eastAsia="仿宋_GB2312"/>
          <w:b/>
          <w:bCs/>
          <w:color w:val="000000"/>
          <w:kern w:val="0"/>
          <w:sz w:val="32"/>
          <w:szCs w:val="32"/>
          <w:highlight w:val="none"/>
          <w:lang w:val="en-US" w:eastAsia="zh-CN"/>
        </w:rPr>
        <w:t>5、国际合作</w:t>
      </w:r>
    </w:p>
    <w:p w14:paraId="5A69ED38">
      <w:pPr>
        <w:keepNext w:val="0"/>
        <w:keepLines w:val="0"/>
        <w:pageBreakBefore w:val="0"/>
        <w:kinsoku/>
        <w:wordWrap/>
        <w:overflowPunct/>
        <w:topLinePunct w:val="0"/>
        <w:autoSpaceDE/>
        <w:autoSpaceDN/>
        <w:bidi w:val="0"/>
        <w:adjustRightInd/>
        <w:snapToGrid/>
        <w:spacing w:line="560" w:lineRule="exact"/>
        <w:ind w:firstLine="960" w:firstLineChars="300"/>
        <w:rPr>
          <w:rFonts w:hint="default" w:eastAsia="仿宋_GB2312"/>
          <w:color w:val="000000"/>
          <w:kern w:val="0"/>
          <w:sz w:val="32"/>
          <w:szCs w:val="32"/>
          <w:highlight w:val="none"/>
          <w:lang w:val="en-US" w:eastAsia="zh-CN"/>
        </w:rPr>
      </w:pPr>
      <w:r>
        <w:rPr>
          <w:rFonts w:hint="default" w:eastAsia="仿宋_GB2312"/>
          <w:color w:val="000000"/>
          <w:kern w:val="0"/>
          <w:sz w:val="32"/>
          <w:szCs w:val="32"/>
          <w:highlight w:val="none"/>
          <w:lang w:val="en-US" w:eastAsia="zh-CN"/>
        </w:rPr>
        <w:t>石家庄新铁职业高级中学在2024年度，遵循“立足区域、服务产业、夯实基础、稳步发展”的办学思路，将工作重心集中于国内产教融合深化、教育教学质量提升等核心任务。基于此战略聚焦，本年度未系统性地组织开展实质性的国际交流与合作项目</w:t>
      </w:r>
    </w:p>
    <w:p w14:paraId="63EA9867">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、产教融合</w:t>
      </w:r>
    </w:p>
    <w:p w14:paraId="2111DAD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.1校企合作开展情况和效果</w:t>
      </w:r>
    </w:p>
    <w:p w14:paraId="740366A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积极探索多样化，多形式，多层次的校企合作新模式。校企合作主要内容为学生岗位实习加就业，企业授权学校为该企业“人才培养基地”，企业提出用人需求，根据企业用人需求提前教导学生，开展专业授课，就业指导等课程，让学生有先一步的认知。目前学校现有合作单位50余家，累计输送岗位实习加就业学生</w:t>
      </w:r>
      <w:r>
        <w:rPr>
          <w:rFonts w:hint="eastAsia" w:ascii="仿宋" w:hAnsi="仿宋" w:eastAsia="仿宋" w:cs="仿宋"/>
          <w:sz w:val="32"/>
          <w:szCs w:val="32"/>
          <w:highlight w:val="none"/>
          <w:lang w:val="en-US" w:eastAsia="zh-CN"/>
        </w:rPr>
        <w:t>三千</w:t>
      </w:r>
      <w:r>
        <w:rPr>
          <w:rFonts w:hint="eastAsia" w:ascii="仿宋" w:hAnsi="仿宋" w:eastAsia="仿宋" w:cs="仿宋"/>
          <w:sz w:val="32"/>
          <w:szCs w:val="32"/>
          <w:highlight w:val="none"/>
        </w:rPr>
        <w:t>余人。</w:t>
      </w:r>
    </w:p>
    <w:p w14:paraId="306FEE46">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w:t>
      </w: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中等职业学校就业质量相关情况统计表</w:t>
      </w:r>
    </w:p>
    <w:tbl>
      <w:tblPr>
        <w:tblStyle w:val="5"/>
        <w:tblW w:w="81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22"/>
        <w:gridCol w:w="3527"/>
        <w:gridCol w:w="1065"/>
        <w:gridCol w:w="1120"/>
        <w:gridCol w:w="1102"/>
      </w:tblGrid>
      <w:tr w14:paraId="25EC256B">
        <w:trPr>
          <w:trHeight w:val="640"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top"/>
          </w:tcPr>
          <w:p w14:paraId="0C6CC247">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top"/>
          </w:tcPr>
          <w:p w14:paraId="453B8954">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498FA90C">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61A8B36C">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2024年</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613A7473">
            <w:pPr>
              <w:keepNext w:val="0"/>
              <w:keepLines w:val="0"/>
              <w:widowControl/>
              <w:suppressLineNumbers w:val="0"/>
              <w:jc w:val="left"/>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2025年</w:t>
            </w:r>
          </w:p>
        </w:tc>
      </w:tr>
      <w:tr w14:paraId="492F2753">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351E">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51D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毕业生人数*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31CFFEBD">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0188DD71">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1530</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08467BA6">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1086</w:t>
            </w:r>
          </w:p>
        </w:tc>
      </w:tr>
      <w:tr w14:paraId="2097AB74">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AD05">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433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毕业生去向落实人数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625AE1BC">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23CE00F1">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1530</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0B15A3FA">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1086</w:t>
            </w:r>
          </w:p>
        </w:tc>
      </w:tr>
      <w:tr w14:paraId="400B44B3">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EC17">
            <w:pPr>
              <w:jc w:val="left"/>
              <w:rPr>
                <w:rFonts w:hint="eastAsia" w:ascii="Arial" w:hAnsi="Arial" w:eastAsia="宋体" w:cs="Arial"/>
                <w:i w:val="0"/>
                <w:iCs w:val="0"/>
                <w:color w:val="000000"/>
                <w:sz w:val="21"/>
                <w:szCs w:val="21"/>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D92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其中：升学人数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4E3B2FEB">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502135D8">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1129</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24C9ADF2">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876</w:t>
            </w:r>
          </w:p>
        </w:tc>
      </w:tr>
      <w:tr w14:paraId="65994055">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B989">
            <w:pPr>
              <w:jc w:val="left"/>
              <w:rPr>
                <w:rFonts w:hint="default" w:ascii="Arial" w:hAnsi="Arial" w:eastAsia="宋体" w:cs="Arial"/>
                <w:i w:val="0"/>
                <w:iCs w:val="0"/>
                <w:color w:val="000000"/>
                <w:sz w:val="21"/>
                <w:szCs w:val="21"/>
                <w:u w:val="none"/>
              </w:rPr>
            </w:pP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83E0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14"/>
                <w:lang w:val="en-US" w:eastAsia="zh-CN" w:bidi="ar"/>
              </w:rPr>
              <w:t>其中：单招升学人数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3540F0A7">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735B3AE5">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1029</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2DB9D555">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813</w:t>
            </w:r>
          </w:p>
        </w:tc>
      </w:tr>
      <w:tr w14:paraId="19E83A4C">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A9B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FAF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毕业生本省去向落实率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123C2D6B">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409A620B">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16.45</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302CDB6A">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18.12</w:t>
            </w:r>
          </w:p>
        </w:tc>
      </w:tr>
      <w:tr w14:paraId="685C3791">
        <w:trPr>
          <w:trHeight w:val="32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E795">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3C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月收入</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75341E0B">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元</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2B9BEAF4">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3800</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1464C1B3">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r>
      <w:tr w14:paraId="73067B94">
        <w:trPr>
          <w:trHeight w:val="335" w:hRule="atLeast"/>
        </w:trPr>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550A">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w:t>
            </w:r>
          </w:p>
        </w:tc>
        <w:tc>
          <w:tcPr>
            <w:tcW w:w="3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908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毕业生就业人数</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top"/>
          </w:tcPr>
          <w:p w14:paraId="1CC56FF0">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top"/>
          </w:tcPr>
          <w:p w14:paraId="28C75718">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401</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top"/>
          </w:tcPr>
          <w:p w14:paraId="0A596212">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w:t>
            </w:r>
          </w:p>
        </w:tc>
      </w:tr>
    </w:tbl>
    <w:p w14:paraId="26420367">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position w:val="-88"/>
          <w:highlight w:val="none"/>
        </w:rPr>
        <w:drawing>
          <wp:anchor distT="0" distB="0" distL="0" distR="0" simplePos="0" relativeHeight="251678720" behindDoc="0" locked="0" layoutInCell="1" allowOverlap="1">
            <wp:simplePos x="0" y="0"/>
            <wp:positionH relativeFrom="column">
              <wp:posOffset>85725</wp:posOffset>
            </wp:positionH>
            <wp:positionV relativeFrom="paragraph">
              <wp:posOffset>474980</wp:posOffset>
            </wp:positionV>
            <wp:extent cx="5075555" cy="3207385"/>
            <wp:effectExtent l="0" t="0" r="10795" b="12065"/>
            <wp:wrapTopAndBottom/>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2"/>
                    <a:stretch>
                      <a:fillRect/>
                    </a:stretch>
                  </pic:blipFill>
                  <pic:spPr>
                    <a:xfrm>
                      <a:off x="0" y="0"/>
                      <a:ext cx="5075555" cy="3207385"/>
                    </a:xfrm>
                    <a:prstGeom prst="rect">
                      <a:avLst/>
                    </a:prstGeom>
                  </pic:spPr>
                </pic:pic>
              </a:graphicData>
            </a:graphic>
          </wp:anchor>
        </w:drawing>
      </w:r>
      <w:r>
        <w:rPr>
          <w:rFonts w:hint="eastAsia" w:ascii="仿宋" w:hAnsi="仿宋" w:eastAsia="仿宋" w:cs="仿宋"/>
          <w:b/>
          <w:bCs/>
          <w:sz w:val="32"/>
          <w:szCs w:val="32"/>
          <w:highlight w:val="none"/>
        </w:rPr>
        <w:t>表</w:t>
      </w: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-专业对口统计</w:t>
      </w:r>
    </w:p>
    <w:p w14:paraId="30B579D8">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b/>
          <w:bCs/>
          <w:sz w:val="32"/>
          <w:szCs w:val="32"/>
          <w:highlight w:val="none"/>
        </w:rPr>
        <w:t>表</w:t>
      </w:r>
      <w:r>
        <w:rPr>
          <w:rFonts w:hint="eastAsia" w:ascii="仿宋" w:hAnsi="仿宋" w:eastAsia="仿宋" w:cs="仿宋"/>
          <w:b/>
          <w:bCs/>
          <w:sz w:val="32"/>
          <w:szCs w:val="32"/>
          <w:highlight w:val="none"/>
          <w:lang w:val="en-US" w:eastAsia="zh-CN"/>
        </w:rPr>
        <w:t>10</w:t>
      </w:r>
      <w:r>
        <w:rPr>
          <w:rFonts w:hint="eastAsia" w:ascii="仿宋" w:hAnsi="仿宋" w:eastAsia="仿宋" w:cs="仿宋"/>
          <w:b/>
          <w:bCs/>
          <w:sz w:val="32"/>
          <w:szCs w:val="32"/>
          <w:highlight w:val="none"/>
        </w:rPr>
        <w:t>-毕业生服务三次产业人数</w:t>
      </w:r>
      <w:r>
        <w:rPr>
          <w:position w:val="-82"/>
          <w:highlight w:val="none"/>
        </w:rPr>
        <w:drawing>
          <wp:anchor distT="0" distB="0" distL="0" distR="0" simplePos="0" relativeHeight="251679744" behindDoc="0" locked="0" layoutInCell="1" allowOverlap="1">
            <wp:simplePos x="0" y="0"/>
            <wp:positionH relativeFrom="column">
              <wp:posOffset>-47625</wp:posOffset>
            </wp:positionH>
            <wp:positionV relativeFrom="paragraph">
              <wp:posOffset>163830</wp:posOffset>
            </wp:positionV>
            <wp:extent cx="5293360" cy="3255645"/>
            <wp:effectExtent l="0" t="0" r="2540" b="1905"/>
            <wp:wrapTopAndBottom/>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3"/>
                    <a:srcRect b="4069"/>
                    <a:stretch>
                      <a:fillRect/>
                    </a:stretch>
                  </pic:blipFill>
                  <pic:spPr>
                    <a:xfrm>
                      <a:off x="0" y="0"/>
                      <a:ext cx="5293360" cy="3255645"/>
                    </a:xfrm>
                    <a:prstGeom prst="rect">
                      <a:avLst/>
                    </a:prstGeom>
                  </pic:spPr>
                </pic:pic>
              </a:graphicData>
            </a:graphic>
          </wp:anchor>
        </w:drawing>
      </w:r>
    </w:p>
    <w:p w14:paraId="603429F0">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与河北瑞鑫信息技术有限公司（以下称为企业）达成校企合作订单班协议，企业向学校投资多媒体设备25套，投资金额14万余元，校企双方共同研讨教学大纲，课程设置，人才培养方案等，每学年设立专项奖学金，激励学生奋发向上，比拼赶超，由技术骨干专门为学生进行实训课讲授，就业办专人老师负责管理学生日常生活教学秩序。本次校企合作订单班的成功开展为深度校企合作产教融合奠定了良好的实践基础，也为后期深度校企合作提供了新的思路，更为地方经济发展提供坚实助力。</w:t>
      </w:r>
    </w:p>
    <w:p w14:paraId="443AA821">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表1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投资</w:t>
      </w:r>
      <w:r>
        <w:rPr>
          <w:rFonts w:hint="eastAsia" w:ascii="仿宋" w:hAnsi="仿宋" w:eastAsia="仿宋" w:cs="仿宋"/>
          <w:sz w:val="32"/>
          <w:szCs w:val="32"/>
          <w:highlight w:val="none"/>
        </w:rPr>
        <w:t>设备信息</w:t>
      </w:r>
    </w:p>
    <w:tbl>
      <w:tblPr>
        <w:tblStyle w:val="5"/>
        <w:tblW w:w="8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47"/>
        <w:gridCol w:w="1588"/>
        <w:gridCol w:w="1270"/>
        <w:gridCol w:w="705"/>
        <w:gridCol w:w="705"/>
        <w:gridCol w:w="1270"/>
        <w:gridCol w:w="1270"/>
      </w:tblGrid>
      <w:tr w14:paraId="00EC81CA">
        <w:trPr>
          <w:trHeight w:val="707" w:hRule="atLeast"/>
        </w:trPr>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73FD6EF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top"/>
          </w:tcPr>
          <w:p w14:paraId="2FF6DA0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设备名称</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41BA75A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EEDE11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575AEF3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7DDD15B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705CEA1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w:t>
            </w:r>
          </w:p>
        </w:tc>
      </w:tr>
      <w:tr w14:paraId="6448AD6F">
        <w:trPr>
          <w:trHeight w:val="359" w:hRule="atLeast"/>
        </w:trPr>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1E6BFEC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top"/>
          </w:tcPr>
          <w:p w14:paraId="2912D3D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91A613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HP</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448E19E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88610C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1E4B0D7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048B99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67200</w:t>
            </w:r>
          </w:p>
        </w:tc>
      </w:tr>
      <w:tr w14:paraId="689987EA">
        <w:trPr>
          <w:trHeight w:val="359" w:hRule="atLeast"/>
        </w:trPr>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702DABC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top"/>
          </w:tcPr>
          <w:p w14:paraId="1226F7E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4B83E0F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一体机</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2B09E5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4B4C16A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866836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F247DA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36000</w:t>
            </w:r>
          </w:p>
        </w:tc>
      </w:tr>
      <w:tr w14:paraId="0553AD69">
        <w:trPr>
          <w:trHeight w:val="359" w:hRule="atLeast"/>
        </w:trPr>
        <w:tc>
          <w:tcPr>
            <w:tcW w:w="1747" w:type="dxa"/>
            <w:tcBorders>
              <w:top w:val="single" w:color="000000" w:sz="4" w:space="0"/>
              <w:left w:val="single" w:color="000000" w:sz="4" w:space="0"/>
              <w:bottom w:val="single" w:color="000000" w:sz="4" w:space="0"/>
              <w:right w:val="single" w:color="000000" w:sz="4" w:space="0"/>
            </w:tcBorders>
            <w:shd w:val="clear" w:color="auto" w:fill="auto"/>
            <w:vAlign w:val="top"/>
          </w:tcPr>
          <w:p w14:paraId="677B8DF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top"/>
          </w:tcPr>
          <w:p w14:paraId="514C666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扫描仪</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03B7071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虹光</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B55886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CC975D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50B463D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12867D4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40000</w:t>
            </w:r>
          </w:p>
        </w:tc>
      </w:tr>
      <w:tr w14:paraId="4410F72B">
        <w:trPr>
          <w:trHeight w:val="370" w:hRule="atLeast"/>
        </w:trPr>
        <w:tc>
          <w:tcPr>
            <w:tcW w:w="333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AD8F28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50A17ACB">
            <w:pPr>
              <w:jc w:val="center"/>
              <w:rPr>
                <w:rFonts w:hint="eastAsia" w:ascii="Arial" w:hAnsi="Arial" w:eastAsia="宋体" w:cs="Arial"/>
                <w:i w:val="0"/>
                <w:iCs w:val="0"/>
                <w:color w:val="000000"/>
                <w:sz w:val="18"/>
                <w:szCs w:val="18"/>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7A94E5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E6A75ED">
            <w:pPr>
              <w:jc w:val="center"/>
              <w:rPr>
                <w:rFonts w:hint="default" w:ascii="Arial" w:hAnsi="Arial" w:eastAsia="宋体" w:cs="Arial"/>
                <w:i w:val="0"/>
                <w:iCs w:val="0"/>
                <w:color w:val="000000"/>
                <w:sz w:val="18"/>
                <w:szCs w:val="18"/>
                <w:u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DE88F0D">
            <w:pPr>
              <w:jc w:val="center"/>
              <w:rPr>
                <w:rFonts w:hint="default" w:ascii="Arial" w:hAnsi="Arial" w:eastAsia="宋体" w:cs="Arial"/>
                <w:i w:val="0"/>
                <w:iCs w:val="0"/>
                <w:color w:val="000000"/>
                <w:sz w:val="18"/>
                <w:szCs w:val="18"/>
                <w:u w:val="none"/>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top"/>
          </w:tcPr>
          <w:p w14:paraId="3BC9430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143200</w:t>
            </w:r>
          </w:p>
        </w:tc>
      </w:tr>
    </w:tbl>
    <w:p w14:paraId="077336CF">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highlight w:val="none"/>
        </w:rPr>
        <w:drawing>
          <wp:anchor distT="0" distB="0" distL="0" distR="0" simplePos="0" relativeHeight="251660288" behindDoc="0" locked="0" layoutInCell="1" allowOverlap="1">
            <wp:simplePos x="0" y="0"/>
            <wp:positionH relativeFrom="column">
              <wp:posOffset>2656840</wp:posOffset>
            </wp:positionH>
            <wp:positionV relativeFrom="paragraph">
              <wp:posOffset>-85725</wp:posOffset>
            </wp:positionV>
            <wp:extent cx="2540635" cy="1900555"/>
            <wp:effectExtent l="0" t="0" r="12065" b="4445"/>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4"/>
                    <a:stretch>
                      <a:fillRect/>
                    </a:stretch>
                  </pic:blipFill>
                  <pic:spPr>
                    <a:xfrm>
                      <a:off x="0" y="0"/>
                      <a:ext cx="2540635" cy="1900555"/>
                    </a:xfrm>
                    <a:prstGeom prst="rect">
                      <a:avLst/>
                    </a:prstGeom>
                  </pic:spPr>
                </pic:pic>
              </a:graphicData>
            </a:graphic>
          </wp:anchor>
        </w:drawing>
      </w:r>
      <w:r>
        <w:rPr>
          <w:position w:val="-59"/>
          <w:highlight w:val="none"/>
        </w:rPr>
        <w:drawing>
          <wp:anchor distT="0" distB="0" distL="0" distR="0" simplePos="0" relativeHeight="251681792" behindDoc="0" locked="0" layoutInCell="1" allowOverlap="1">
            <wp:simplePos x="0" y="0"/>
            <wp:positionH relativeFrom="column">
              <wp:posOffset>-57150</wp:posOffset>
            </wp:positionH>
            <wp:positionV relativeFrom="paragraph">
              <wp:posOffset>-113030</wp:posOffset>
            </wp:positionV>
            <wp:extent cx="2540000" cy="1899920"/>
            <wp:effectExtent l="0" t="0" r="12700" b="5080"/>
            <wp:wrapTopAndBottom/>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5"/>
                    <a:stretch>
                      <a:fillRect/>
                    </a:stretch>
                  </pic:blipFill>
                  <pic:spPr>
                    <a:xfrm>
                      <a:off x="0" y="0"/>
                      <a:ext cx="2540507" cy="1900428"/>
                    </a:xfrm>
                    <a:prstGeom prst="rect">
                      <a:avLst/>
                    </a:prstGeom>
                  </pic:spPr>
                </pic:pic>
              </a:graphicData>
            </a:graphic>
          </wp:anchor>
        </w:drawing>
      </w:r>
    </w:p>
    <w:p w14:paraId="4747E5A1">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lang w:val="en-US" w:eastAsia="zh-CN"/>
        </w:rPr>
      </w:pPr>
      <w:r>
        <w:rPr>
          <w:highlight w:val="none"/>
        </w:rPr>
        <w:drawing>
          <wp:anchor distT="0" distB="0" distL="0" distR="0" simplePos="0" relativeHeight="251661312" behindDoc="0" locked="0" layoutInCell="1" allowOverlap="1">
            <wp:simplePos x="0" y="0"/>
            <wp:positionH relativeFrom="column">
              <wp:posOffset>2609215</wp:posOffset>
            </wp:positionH>
            <wp:positionV relativeFrom="paragraph">
              <wp:posOffset>19050</wp:posOffset>
            </wp:positionV>
            <wp:extent cx="2540635" cy="1900555"/>
            <wp:effectExtent l="0" t="0" r="12065" b="4445"/>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6"/>
                    <a:stretch>
                      <a:fillRect/>
                    </a:stretch>
                  </pic:blipFill>
                  <pic:spPr>
                    <a:xfrm>
                      <a:off x="0" y="0"/>
                      <a:ext cx="2540635" cy="1900555"/>
                    </a:xfrm>
                    <a:prstGeom prst="rect">
                      <a:avLst/>
                    </a:prstGeom>
                  </pic:spPr>
                </pic:pic>
              </a:graphicData>
            </a:graphic>
          </wp:anchor>
        </w:drawing>
      </w:r>
      <w:r>
        <w:rPr>
          <w:position w:val="-59"/>
          <w:highlight w:val="none"/>
        </w:rPr>
        <w:drawing>
          <wp:anchor distT="0" distB="0" distL="0" distR="0" simplePos="0" relativeHeight="251680768" behindDoc="0" locked="0" layoutInCell="1" allowOverlap="1">
            <wp:simplePos x="0" y="0"/>
            <wp:positionH relativeFrom="column">
              <wp:posOffset>-133350</wp:posOffset>
            </wp:positionH>
            <wp:positionV relativeFrom="paragraph">
              <wp:posOffset>25400</wp:posOffset>
            </wp:positionV>
            <wp:extent cx="2540000" cy="1899920"/>
            <wp:effectExtent l="0" t="0" r="12700" b="5080"/>
            <wp:wrapTopAndBottom/>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7"/>
                    <a:stretch>
                      <a:fillRect/>
                    </a:stretch>
                  </pic:blipFill>
                  <pic:spPr>
                    <a:xfrm>
                      <a:off x="0" y="0"/>
                      <a:ext cx="2540507" cy="1900428"/>
                    </a:xfrm>
                    <a:prstGeom prst="rect">
                      <a:avLst/>
                    </a:prstGeom>
                  </pic:spPr>
                </pic:pic>
              </a:graphicData>
            </a:graphic>
          </wp:anchor>
        </w:drawing>
      </w:r>
      <w:r>
        <w:rPr>
          <w:rFonts w:hint="eastAsia" w:ascii="仿宋" w:hAnsi="仿宋" w:eastAsia="仿宋" w:cs="仿宋"/>
          <w:sz w:val="32"/>
          <w:szCs w:val="32"/>
          <w:highlight w:val="none"/>
          <w:lang w:val="en-US" w:eastAsia="zh-CN"/>
        </w:rPr>
        <w:t>图14-校企合作签约仪式</w:t>
      </w:r>
    </w:p>
    <w:p w14:paraId="100C9612">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.2现代学徒制开展情况</w:t>
      </w:r>
    </w:p>
    <w:p w14:paraId="635DF6D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落实现代学徒制的途径是尽可能多的将应届岗位实习学生推荐到国企央企单位，如中铁电气化局、上海宝冶集团工业工程有限公司、上海宝冶集团安装工程有限公司、北京京铁列车服务有限公司等。中铁电气化局的理念即为“传、帮、带”，在学徒制培养的模式上有着深厚的耕耘。学生到达实习企业后，都由专职“老师傅”亲自负责教导培养，老师傅经验丰富，技术技能过硬，处理问题多样，能够及时有效的解决学生工作生活中出现的难题，便于学生快速平稳的适应角色转变，将所学与实际相结合，不断打磨自身技术技能。</w:t>
      </w:r>
    </w:p>
    <w:p w14:paraId="00E571C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本年度学校共邀请21家企业到校招聘，现代学徒制企业有13家，共计输送学生2</w:t>
      </w:r>
      <w:r>
        <w:rPr>
          <w:rFonts w:hint="eastAsia" w:ascii="仿宋" w:hAnsi="仿宋" w:eastAsia="仿宋" w:cs="仿宋"/>
          <w:sz w:val="32"/>
          <w:szCs w:val="32"/>
          <w:highlight w:val="none"/>
          <w:lang w:val="en-US" w:eastAsia="zh-CN"/>
        </w:rPr>
        <w:t>10</w:t>
      </w:r>
      <w:r>
        <w:rPr>
          <w:rFonts w:hint="eastAsia" w:ascii="仿宋" w:hAnsi="仿宋" w:eastAsia="仿宋" w:cs="仿宋"/>
          <w:sz w:val="32"/>
          <w:szCs w:val="32"/>
          <w:highlight w:val="none"/>
        </w:rPr>
        <w:t>人。</w:t>
      </w:r>
    </w:p>
    <w:p w14:paraId="1295C445">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表1</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-毕业生就业学徒制企业统计</w:t>
      </w:r>
    </w:p>
    <w:p w14:paraId="390A87E1">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position w:val="-83"/>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87630</wp:posOffset>
            </wp:positionV>
            <wp:extent cx="5303520" cy="2655570"/>
            <wp:effectExtent l="0" t="0" r="11430" b="11430"/>
            <wp:wrapTopAndBottom/>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8"/>
                    <a:stretch>
                      <a:fillRect/>
                    </a:stretch>
                  </pic:blipFill>
                  <pic:spPr>
                    <a:xfrm>
                      <a:off x="0" y="0"/>
                      <a:ext cx="5304154" cy="2655570"/>
                    </a:xfrm>
                    <a:prstGeom prst="rect">
                      <a:avLst/>
                    </a:prstGeom>
                  </pic:spPr>
                </pic:pic>
              </a:graphicData>
            </a:graphic>
          </wp:anchor>
        </w:drawing>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.3学生实习实训</w:t>
      </w:r>
    </w:p>
    <w:p w14:paraId="21E1EFFD">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val="0"/>
          <w:bCs w:val="0"/>
          <w:sz w:val="32"/>
          <w:szCs w:val="32"/>
          <w:highlight w:val="none"/>
          <w:lang w:val="en-US" w:eastAsia="zh-CN"/>
        </w:rPr>
        <w:t>表13-实习实训表</w:t>
      </w:r>
    </w:p>
    <w:tbl>
      <w:tblPr>
        <w:tblStyle w:val="8"/>
        <w:tblW w:w="79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3"/>
        <w:gridCol w:w="5235"/>
        <w:gridCol w:w="1600"/>
      </w:tblGrid>
      <w:tr w14:paraId="6587CF59">
        <w:trPr>
          <w:trHeight w:val="563" w:hRule="atLeast"/>
          <w:jc w:val="center"/>
        </w:trPr>
        <w:tc>
          <w:tcPr>
            <w:tcW w:w="1163" w:type="dxa"/>
            <w:vAlign w:val="top"/>
          </w:tcPr>
          <w:p w14:paraId="00D5F4C0">
            <w:pPr>
              <w:keepNext w:val="0"/>
              <w:keepLines w:val="0"/>
              <w:pageBreakBefore w:val="0"/>
              <w:kinsoku/>
              <w:wordWrap/>
              <w:overflowPunct/>
              <w:topLinePunct w:val="0"/>
              <w:autoSpaceDE/>
              <w:autoSpaceDN/>
              <w:bidi w:val="0"/>
              <w:adjustRightInd/>
              <w:snapToGrid/>
              <w:spacing w:before="158" w:line="560" w:lineRule="exact"/>
              <w:ind w:left="319"/>
              <w:rPr>
                <w:rFonts w:ascii="仿宋" w:hAnsi="仿宋" w:eastAsia="仿宋" w:cs="仿宋"/>
                <w:sz w:val="32"/>
                <w:szCs w:val="32"/>
                <w:highlight w:val="none"/>
              </w:rPr>
            </w:pPr>
            <w:r>
              <w:rPr>
                <w:rFonts w:ascii="仿宋" w:hAnsi="仿宋" w:eastAsia="仿宋" w:cs="仿宋"/>
                <w:spacing w:val="-2"/>
                <w:sz w:val="32"/>
                <w:szCs w:val="32"/>
                <w:highlight w:val="none"/>
              </w:rPr>
              <w:t>序号</w:t>
            </w:r>
          </w:p>
        </w:tc>
        <w:tc>
          <w:tcPr>
            <w:tcW w:w="5235" w:type="dxa"/>
            <w:vAlign w:val="top"/>
          </w:tcPr>
          <w:p w14:paraId="716269E9">
            <w:pPr>
              <w:keepNext w:val="0"/>
              <w:keepLines w:val="0"/>
              <w:pageBreakBefore w:val="0"/>
              <w:kinsoku/>
              <w:wordWrap/>
              <w:overflowPunct/>
              <w:topLinePunct w:val="0"/>
              <w:autoSpaceDE/>
              <w:autoSpaceDN/>
              <w:bidi w:val="0"/>
              <w:adjustRightInd/>
              <w:snapToGrid/>
              <w:spacing w:before="158" w:line="560" w:lineRule="exact"/>
              <w:ind w:left="2490"/>
              <w:rPr>
                <w:rFonts w:ascii="仿宋" w:hAnsi="仿宋" w:eastAsia="仿宋" w:cs="仿宋"/>
                <w:sz w:val="32"/>
                <w:szCs w:val="32"/>
                <w:highlight w:val="none"/>
              </w:rPr>
            </w:pPr>
            <w:r>
              <w:rPr>
                <w:rFonts w:ascii="仿宋" w:hAnsi="仿宋" w:eastAsia="仿宋" w:cs="仿宋"/>
                <w:spacing w:val="-3"/>
                <w:sz w:val="32"/>
                <w:szCs w:val="32"/>
                <w:highlight w:val="none"/>
              </w:rPr>
              <w:t>项目</w:t>
            </w:r>
          </w:p>
        </w:tc>
        <w:tc>
          <w:tcPr>
            <w:tcW w:w="1600" w:type="dxa"/>
            <w:vAlign w:val="top"/>
          </w:tcPr>
          <w:p w14:paraId="734A46D2">
            <w:pPr>
              <w:keepNext w:val="0"/>
              <w:keepLines w:val="0"/>
              <w:pageBreakBefore w:val="0"/>
              <w:kinsoku/>
              <w:wordWrap/>
              <w:overflowPunct/>
              <w:topLinePunct w:val="0"/>
              <w:autoSpaceDE/>
              <w:autoSpaceDN/>
              <w:bidi w:val="0"/>
              <w:adjustRightInd/>
              <w:snapToGrid/>
              <w:spacing w:before="157" w:line="560" w:lineRule="exact"/>
              <w:ind w:left="551"/>
              <w:rPr>
                <w:rFonts w:ascii="仿宋" w:hAnsi="仿宋" w:eastAsia="仿宋" w:cs="仿宋"/>
                <w:sz w:val="32"/>
                <w:szCs w:val="32"/>
                <w:highlight w:val="none"/>
              </w:rPr>
            </w:pPr>
            <w:r>
              <w:rPr>
                <w:rFonts w:ascii="仿宋" w:hAnsi="仿宋" w:eastAsia="仿宋" w:cs="仿宋"/>
                <w:spacing w:val="-1"/>
                <w:sz w:val="32"/>
                <w:szCs w:val="32"/>
                <w:highlight w:val="none"/>
              </w:rPr>
              <w:t>数据</w:t>
            </w:r>
          </w:p>
        </w:tc>
      </w:tr>
      <w:tr w14:paraId="661AEEE1">
        <w:trPr>
          <w:trHeight w:val="439" w:hRule="atLeast"/>
          <w:jc w:val="center"/>
        </w:trPr>
        <w:tc>
          <w:tcPr>
            <w:tcW w:w="1163" w:type="dxa"/>
            <w:vAlign w:val="top"/>
          </w:tcPr>
          <w:p w14:paraId="173B4DDC">
            <w:pPr>
              <w:keepNext w:val="0"/>
              <w:keepLines w:val="0"/>
              <w:pageBreakBefore w:val="0"/>
              <w:kinsoku/>
              <w:wordWrap/>
              <w:overflowPunct/>
              <w:topLinePunct w:val="0"/>
              <w:autoSpaceDE/>
              <w:autoSpaceDN/>
              <w:bidi w:val="0"/>
              <w:adjustRightInd/>
              <w:snapToGrid/>
              <w:spacing w:before="153" w:line="560" w:lineRule="exact"/>
              <w:ind w:left="572"/>
              <w:rPr>
                <w:rFonts w:ascii="仿宋" w:hAnsi="仿宋" w:eastAsia="仿宋" w:cs="仿宋"/>
                <w:sz w:val="32"/>
                <w:szCs w:val="32"/>
                <w:highlight w:val="none"/>
              </w:rPr>
            </w:pPr>
            <w:r>
              <w:rPr>
                <w:rFonts w:ascii="仿宋" w:hAnsi="仿宋" w:eastAsia="仿宋" w:cs="仿宋"/>
                <w:position w:val="2"/>
                <w:sz w:val="32"/>
                <w:szCs w:val="32"/>
                <w:highlight w:val="none"/>
              </w:rPr>
              <w:t>1</w:t>
            </w:r>
          </w:p>
        </w:tc>
        <w:tc>
          <w:tcPr>
            <w:tcW w:w="5235" w:type="dxa"/>
            <w:vAlign w:val="center"/>
          </w:tcPr>
          <w:p w14:paraId="2973EA26">
            <w:pPr>
              <w:keepNext w:val="0"/>
              <w:keepLines w:val="0"/>
              <w:pageBreakBefore w:val="0"/>
              <w:kinsoku/>
              <w:wordWrap/>
              <w:overflowPunct/>
              <w:topLinePunct w:val="0"/>
              <w:autoSpaceDE/>
              <w:autoSpaceDN/>
              <w:bidi w:val="0"/>
              <w:adjustRightInd/>
              <w:snapToGrid/>
              <w:spacing w:before="153" w:line="560" w:lineRule="exact"/>
              <w:jc w:val="center"/>
              <w:rPr>
                <w:rFonts w:ascii="仿宋" w:hAnsi="仿宋" w:eastAsia="仿宋" w:cs="仿宋"/>
                <w:sz w:val="32"/>
                <w:szCs w:val="32"/>
                <w:highlight w:val="none"/>
              </w:rPr>
            </w:pPr>
            <w:r>
              <w:rPr>
                <w:rFonts w:ascii="仿宋" w:hAnsi="仿宋" w:eastAsia="仿宋" w:cs="仿宋"/>
                <w:spacing w:val="7"/>
                <w:sz w:val="28"/>
                <w:szCs w:val="28"/>
                <w:highlight w:val="none"/>
              </w:rPr>
              <w:t>合作企业接收教师企业实践人数</w:t>
            </w:r>
          </w:p>
        </w:tc>
        <w:tc>
          <w:tcPr>
            <w:tcW w:w="1600" w:type="dxa"/>
            <w:vAlign w:val="top"/>
          </w:tcPr>
          <w:p w14:paraId="7D7D9191">
            <w:pPr>
              <w:keepNext w:val="0"/>
              <w:keepLines w:val="0"/>
              <w:pageBreakBefore w:val="0"/>
              <w:kinsoku/>
              <w:wordWrap/>
              <w:overflowPunct/>
              <w:topLinePunct w:val="0"/>
              <w:autoSpaceDE/>
              <w:autoSpaceDN/>
              <w:bidi w:val="0"/>
              <w:adjustRightInd/>
              <w:snapToGrid/>
              <w:spacing w:before="154" w:line="560" w:lineRule="exact"/>
              <w:ind w:left="583"/>
              <w:rPr>
                <w:rFonts w:ascii="仿宋" w:hAnsi="仿宋" w:eastAsia="仿宋" w:cs="仿宋"/>
                <w:sz w:val="32"/>
                <w:szCs w:val="32"/>
                <w:highlight w:val="none"/>
              </w:rPr>
            </w:pPr>
            <w:r>
              <w:rPr>
                <w:rFonts w:hint="eastAsia" w:ascii="仿宋" w:hAnsi="仿宋" w:eastAsia="仿宋" w:cs="仿宋"/>
                <w:spacing w:val="-5"/>
                <w:sz w:val="32"/>
                <w:szCs w:val="32"/>
                <w:highlight w:val="none"/>
                <w:lang w:val="en-US" w:eastAsia="zh-CN"/>
              </w:rPr>
              <w:t>8</w:t>
            </w:r>
            <w:r>
              <w:rPr>
                <w:rFonts w:ascii="仿宋" w:hAnsi="仿宋" w:eastAsia="仿宋" w:cs="仿宋"/>
                <w:spacing w:val="-5"/>
                <w:sz w:val="32"/>
                <w:szCs w:val="32"/>
                <w:highlight w:val="none"/>
              </w:rPr>
              <w:t>人</w:t>
            </w:r>
          </w:p>
        </w:tc>
      </w:tr>
      <w:tr w14:paraId="7A63F645">
        <w:trPr>
          <w:trHeight w:val="628" w:hRule="atLeast"/>
          <w:jc w:val="center"/>
        </w:trPr>
        <w:tc>
          <w:tcPr>
            <w:tcW w:w="1163" w:type="dxa"/>
            <w:vAlign w:val="top"/>
          </w:tcPr>
          <w:p w14:paraId="1BDC9F86">
            <w:pPr>
              <w:keepNext w:val="0"/>
              <w:keepLines w:val="0"/>
              <w:pageBreakBefore w:val="0"/>
              <w:kinsoku/>
              <w:wordWrap/>
              <w:overflowPunct/>
              <w:topLinePunct w:val="0"/>
              <w:autoSpaceDE/>
              <w:autoSpaceDN/>
              <w:bidi w:val="0"/>
              <w:adjustRightInd/>
              <w:snapToGrid/>
              <w:spacing w:before="156" w:line="560" w:lineRule="exact"/>
              <w:ind w:left="553"/>
              <w:rPr>
                <w:rFonts w:ascii="仿宋" w:hAnsi="仿宋" w:eastAsia="仿宋" w:cs="仿宋"/>
                <w:sz w:val="32"/>
                <w:szCs w:val="32"/>
                <w:highlight w:val="none"/>
              </w:rPr>
            </w:pPr>
            <w:r>
              <w:rPr>
                <w:rFonts w:ascii="仿宋" w:hAnsi="仿宋" w:eastAsia="仿宋" w:cs="仿宋"/>
                <w:position w:val="2"/>
                <w:sz w:val="32"/>
                <w:szCs w:val="32"/>
                <w:highlight w:val="none"/>
              </w:rPr>
              <w:t>2</w:t>
            </w:r>
          </w:p>
        </w:tc>
        <w:tc>
          <w:tcPr>
            <w:tcW w:w="5235" w:type="dxa"/>
            <w:vAlign w:val="center"/>
          </w:tcPr>
          <w:p w14:paraId="65120D56">
            <w:pPr>
              <w:keepNext w:val="0"/>
              <w:keepLines w:val="0"/>
              <w:pageBreakBefore w:val="0"/>
              <w:kinsoku/>
              <w:wordWrap/>
              <w:overflowPunct/>
              <w:topLinePunct w:val="0"/>
              <w:autoSpaceDE/>
              <w:autoSpaceDN/>
              <w:bidi w:val="0"/>
              <w:adjustRightInd/>
              <w:snapToGrid/>
              <w:spacing w:before="156" w:line="560" w:lineRule="exact"/>
              <w:jc w:val="center"/>
              <w:rPr>
                <w:rFonts w:ascii="仿宋" w:hAnsi="仿宋" w:eastAsia="仿宋" w:cs="仿宋"/>
                <w:sz w:val="32"/>
                <w:szCs w:val="32"/>
                <w:highlight w:val="none"/>
              </w:rPr>
            </w:pPr>
            <w:r>
              <w:rPr>
                <w:rFonts w:ascii="仿宋" w:hAnsi="仿宋" w:eastAsia="仿宋" w:cs="仿宋"/>
                <w:spacing w:val="7"/>
                <w:sz w:val="32"/>
                <w:szCs w:val="32"/>
                <w:highlight w:val="none"/>
              </w:rPr>
              <w:t>合作企业接受学生实习比例</w:t>
            </w:r>
          </w:p>
        </w:tc>
        <w:tc>
          <w:tcPr>
            <w:tcW w:w="1600" w:type="dxa"/>
            <w:vAlign w:val="top"/>
          </w:tcPr>
          <w:p w14:paraId="637E7B79">
            <w:pPr>
              <w:keepNext w:val="0"/>
              <w:keepLines w:val="0"/>
              <w:pageBreakBefore w:val="0"/>
              <w:kinsoku/>
              <w:wordWrap/>
              <w:overflowPunct/>
              <w:topLinePunct w:val="0"/>
              <w:autoSpaceDE/>
              <w:autoSpaceDN/>
              <w:bidi w:val="0"/>
              <w:adjustRightInd/>
              <w:snapToGrid/>
              <w:spacing w:before="156" w:line="560" w:lineRule="exact"/>
              <w:ind w:left="645"/>
              <w:rPr>
                <w:rFonts w:ascii="仿宋" w:hAnsi="仿宋" w:eastAsia="仿宋" w:cs="仿宋"/>
                <w:sz w:val="32"/>
                <w:szCs w:val="32"/>
                <w:highlight w:val="none"/>
              </w:rPr>
            </w:pPr>
            <w:r>
              <w:rPr>
                <w:rFonts w:ascii="仿宋" w:hAnsi="仿宋" w:eastAsia="仿宋" w:cs="仿宋"/>
                <w:spacing w:val="-7"/>
                <w:position w:val="2"/>
                <w:sz w:val="32"/>
                <w:szCs w:val="32"/>
                <w:highlight w:val="none"/>
              </w:rPr>
              <w:t>10%</w:t>
            </w:r>
          </w:p>
        </w:tc>
      </w:tr>
      <w:tr w14:paraId="2AE1C742">
        <w:trPr>
          <w:trHeight w:val="634" w:hRule="atLeast"/>
          <w:jc w:val="center"/>
        </w:trPr>
        <w:tc>
          <w:tcPr>
            <w:tcW w:w="1163" w:type="dxa"/>
            <w:vAlign w:val="top"/>
          </w:tcPr>
          <w:p w14:paraId="688B2A2A">
            <w:pPr>
              <w:keepNext w:val="0"/>
              <w:keepLines w:val="0"/>
              <w:pageBreakBefore w:val="0"/>
              <w:kinsoku/>
              <w:wordWrap/>
              <w:overflowPunct/>
              <w:topLinePunct w:val="0"/>
              <w:autoSpaceDE/>
              <w:autoSpaceDN/>
              <w:bidi w:val="0"/>
              <w:adjustRightInd/>
              <w:snapToGrid/>
              <w:spacing w:before="157" w:line="560" w:lineRule="exact"/>
              <w:ind w:left="555"/>
              <w:rPr>
                <w:rFonts w:ascii="仿宋" w:hAnsi="仿宋" w:eastAsia="仿宋" w:cs="仿宋"/>
                <w:sz w:val="32"/>
                <w:szCs w:val="32"/>
                <w:highlight w:val="none"/>
              </w:rPr>
            </w:pPr>
            <w:r>
              <w:rPr>
                <w:rFonts w:ascii="仿宋" w:hAnsi="仿宋" w:eastAsia="仿宋" w:cs="仿宋"/>
                <w:position w:val="2"/>
                <w:sz w:val="32"/>
                <w:szCs w:val="32"/>
                <w:highlight w:val="none"/>
              </w:rPr>
              <w:t>3</w:t>
            </w:r>
          </w:p>
        </w:tc>
        <w:tc>
          <w:tcPr>
            <w:tcW w:w="5235" w:type="dxa"/>
            <w:vAlign w:val="center"/>
          </w:tcPr>
          <w:p w14:paraId="2A75044E">
            <w:pPr>
              <w:keepNext w:val="0"/>
              <w:keepLines w:val="0"/>
              <w:pageBreakBefore w:val="0"/>
              <w:kinsoku/>
              <w:wordWrap/>
              <w:overflowPunct/>
              <w:topLinePunct w:val="0"/>
              <w:autoSpaceDE/>
              <w:autoSpaceDN/>
              <w:bidi w:val="0"/>
              <w:adjustRightInd/>
              <w:snapToGrid/>
              <w:spacing w:before="157" w:line="560" w:lineRule="exact"/>
              <w:jc w:val="center"/>
              <w:rPr>
                <w:rFonts w:ascii="仿宋" w:hAnsi="仿宋" w:eastAsia="仿宋" w:cs="仿宋"/>
                <w:sz w:val="32"/>
                <w:szCs w:val="32"/>
                <w:highlight w:val="none"/>
              </w:rPr>
            </w:pPr>
            <w:r>
              <w:rPr>
                <w:rFonts w:ascii="仿宋" w:hAnsi="仿宋" w:eastAsia="仿宋" w:cs="仿宋"/>
                <w:spacing w:val="7"/>
                <w:sz w:val="32"/>
                <w:szCs w:val="32"/>
                <w:highlight w:val="none"/>
              </w:rPr>
              <w:t>企业对学校捐赠设备总值</w:t>
            </w:r>
          </w:p>
        </w:tc>
        <w:tc>
          <w:tcPr>
            <w:tcW w:w="1600" w:type="dxa"/>
            <w:vAlign w:val="top"/>
          </w:tcPr>
          <w:p w14:paraId="6D1AB835">
            <w:pPr>
              <w:keepNext w:val="0"/>
              <w:keepLines w:val="0"/>
              <w:pageBreakBefore w:val="0"/>
              <w:kinsoku/>
              <w:wordWrap/>
              <w:overflowPunct/>
              <w:topLinePunct w:val="0"/>
              <w:autoSpaceDE/>
              <w:autoSpaceDN/>
              <w:bidi w:val="0"/>
              <w:adjustRightInd/>
              <w:snapToGrid/>
              <w:spacing w:before="158" w:line="560" w:lineRule="exact"/>
              <w:ind w:left="364"/>
              <w:rPr>
                <w:rFonts w:ascii="仿宋" w:hAnsi="仿宋" w:eastAsia="仿宋" w:cs="仿宋"/>
                <w:sz w:val="32"/>
                <w:szCs w:val="32"/>
                <w:highlight w:val="none"/>
              </w:rPr>
            </w:pPr>
            <w:r>
              <w:rPr>
                <w:rFonts w:ascii="仿宋" w:hAnsi="仿宋" w:eastAsia="仿宋" w:cs="仿宋"/>
                <w:spacing w:val="-8"/>
                <w:sz w:val="32"/>
                <w:szCs w:val="32"/>
                <w:highlight w:val="none"/>
              </w:rPr>
              <w:t>14万元</w:t>
            </w:r>
          </w:p>
        </w:tc>
      </w:tr>
    </w:tbl>
    <w:p w14:paraId="7F0A35EF">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学校</w:t>
      </w:r>
      <w:r>
        <w:rPr>
          <w:rFonts w:hint="eastAsia" w:ascii="仿宋" w:hAnsi="仿宋" w:eastAsia="仿宋" w:cs="仿宋"/>
          <w:b w:val="0"/>
          <w:bCs w:val="0"/>
          <w:sz w:val="32"/>
          <w:szCs w:val="32"/>
          <w:highlight w:val="none"/>
        </w:rPr>
        <w:t>认真贯彻全国职业教育工作会议精神，切实落实好教育部等五部门联合印发的《职业学校学生实习管理规定》（2021 年修订），学校在校长的领导下，由就业办全面统筹，会同德育科、教务科、后勤科等部门主要负责人组成学校学生实习管理领导小组，就业办教师及各班级班主任等组成学生实习指导小组，具体负责管理学生实习工作。</w:t>
      </w:r>
    </w:p>
    <w:p w14:paraId="57B21B84">
      <w:pPr>
        <w:keepNext w:val="0"/>
        <w:keepLines w:val="0"/>
        <w:pageBreakBefore w:val="0"/>
        <w:kinsoku/>
        <w:wordWrap/>
        <w:overflowPunct/>
        <w:topLinePunct w:val="0"/>
        <w:autoSpaceDE/>
        <w:autoSpaceDN/>
        <w:bidi w:val="0"/>
        <w:adjustRightInd/>
        <w:snapToGrid/>
        <w:spacing w:line="560" w:lineRule="exact"/>
        <w:ind w:firstLine="320" w:firstLineChars="100"/>
        <w:jc w:val="both"/>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6.3.1</w:t>
      </w:r>
      <w:r>
        <w:rPr>
          <w:rFonts w:hint="eastAsia" w:ascii="仿宋" w:hAnsi="仿宋" w:eastAsia="仿宋" w:cs="仿宋"/>
          <w:b w:val="0"/>
          <w:bCs w:val="0"/>
          <w:sz w:val="32"/>
          <w:szCs w:val="32"/>
          <w:highlight w:val="none"/>
        </w:rPr>
        <w:t>实习管理举措</w:t>
      </w:r>
    </w:p>
    <w:p w14:paraId="4DAC60B3">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1）高度重视，组建实习管理工作小组学校高度重视学生实习工作，为实时掌握学生工作、生活情况，采取有效措施确保学生的生命安全和身心健康。学校成立了由校长任组长，主管校长人副组长的实习管理领导小组，全面统筹协调实习工作，建立了实习生—班主任—指导教师—单位联动机制，展开多方位有效管理；</w:t>
      </w:r>
    </w:p>
    <w:p w14:paraId="4A32F4C1">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2）完善机制，规范实习实训工作学校注重学生实习管理规章制度建设，制定相应规章制度，规范学生的实习管理，并成立实习指导及管理小组，认真学习领会《职业学校学生实习管理规定》，严格执行国家有关学生实习工作的方针政策，遵守实习工作程序，监督用人单位按照劳动法等组织学生实习，做到公平、公正、合理、有序、安全，确保工作顺畅，维护学生合法权益；</w:t>
      </w:r>
    </w:p>
    <w:p w14:paraId="1EC73D0D">
      <w:pPr>
        <w:keepNext w:val="0"/>
        <w:keepLines w:val="0"/>
        <w:pageBreakBefore w:val="0"/>
        <w:kinsoku/>
        <w:wordWrap/>
        <w:overflowPunct/>
        <w:topLinePunct w:val="0"/>
        <w:autoSpaceDE/>
        <w:autoSpaceDN/>
        <w:bidi w:val="0"/>
        <w:adjustRightInd/>
        <w:snapToGrid/>
        <w:spacing w:line="560" w:lineRule="exact"/>
        <w:ind w:firstLine="320" w:firstLineChars="100"/>
        <w:jc w:val="both"/>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6.3.2</w:t>
      </w:r>
      <w:r>
        <w:rPr>
          <w:rFonts w:hint="eastAsia" w:ascii="仿宋" w:hAnsi="仿宋" w:eastAsia="仿宋" w:cs="仿宋"/>
          <w:b w:val="0"/>
          <w:bCs w:val="0"/>
          <w:sz w:val="32"/>
          <w:szCs w:val="32"/>
          <w:highlight w:val="none"/>
        </w:rPr>
        <w:t>加强实习管控，确保实习安全有序运行</w:t>
      </w:r>
    </w:p>
    <w:p w14:paraId="2D8A8874">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1）加强学生管理：在就业办的统筹安排下，将在外实习学生纳入管理范围，列为重点关注对象，指定专人负责，防止出现“管理盲区”。充分使用手机、QQ、微信等方式，联系每一名实习学生，开展安全实习教育，对学生假期实习实训情况进行摸排核查，建立台账，定时反馈实习和生活情况，实时掌握学生实习的时间地点，工作环境，生活条件，身心状态，安全防护措施等情况。</w:t>
      </w:r>
    </w:p>
    <w:p w14:paraId="4B73C6BE">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2）全面排查管控。全面排查学生在岗和休假离职情况，密切关注每一名学生的情况。对于统一安排实习单位的学生，学校积极协调实习单位代为妥善管理，专人与实习单位进行定期不定期沟通，与实习单位共同做好学生的安全稳定工作。对于学校批准的自主择业学生，按照相关规定完善实习材料，建立相应台账，及时与家长沟通联络，实时掌握其实习生活动态。</w:t>
      </w:r>
    </w:p>
    <w:p w14:paraId="0D91FD41">
      <w:pPr>
        <w:keepNext w:val="0"/>
        <w:keepLines w:val="0"/>
        <w:pageBreakBefore w:val="0"/>
        <w:kinsoku/>
        <w:wordWrap/>
        <w:overflowPunct/>
        <w:topLinePunct w:val="0"/>
        <w:autoSpaceDE/>
        <w:autoSpaceDN/>
        <w:bidi w:val="0"/>
        <w:adjustRightInd/>
        <w:snapToGrid/>
        <w:spacing w:line="560" w:lineRule="exact"/>
        <w:ind w:firstLine="320" w:firstLineChars="100"/>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6.3.3</w:t>
      </w:r>
      <w:r>
        <w:rPr>
          <w:rFonts w:hint="eastAsia" w:ascii="仿宋" w:hAnsi="仿宋" w:eastAsia="仿宋" w:cs="仿宋"/>
          <w:b w:val="0"/>
          <w:bCs w:val="0"/>
          <w:sz w:val="32"/>
          <w:szCs w:val="32"/>
          <w:highlight w:val="none"/>
        </w:rPr>
        <w:t>规范实习管理</w:t>
      </w:r>
    </w:p>
    <w:p w14:paraId="3EFF172D">
      <w:pPr>
        <w:keepNext w:val="0"/>
        <w:keepLines w:val="0"/>
        <w:pageBreakBefore w:val="0"/>
        <w:kinsoku/>
        <w:wordWrap/>
        <w:overflowPunct/>
        <w:topLinePunct w:val="0"/>
        <w:autoSpaceDE/>
        <w:autoSpaceDN/>
        <w:bidi w:val="0"/>
        <w:adjustRightInd/>
        <w:snapToGrid/>
        <w:spacing w:line="560" w:lineRule="exact"/>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val="0"/>
          <w:bCs w:val="0"/>
          <w:sz w:val="32"/>
          <w:szCs w:val="32"/>
          <w:highlight w:val="none"/>
        </w:rPr>
        <w:t>落实实习专业对口学校认真对照《职业学校学生实习管理规定》相关条款，本着自主选择单位面试的原则，原则上不跨专业大类推荐岗位，专业不对口学生，完全根据自主意愿选择单位面试。学生实习过程中的实习报酬合理，不低于同岗位试用期工资的 80%。认真遴选合作单位合作单位均按照国家规定进行遴选，严格按照《职业学校学生实习管理规定》要求，对企业资质，安全生产经营情况等进行提前调查，并派专人到企业进行实地考察，撰写考察报告，学校合作单位均可提供集体住宿，并有专人负责宿舍管理。</w:t>
      </w:r>
    </w:p>
    <w:p w14:paraId="4B281430">
      <w:pPr>
        <w:keepNext w:val="0"/>
        <w:keepLines w:val="0"/>
        <w:pageBreakBefore w:val="0"/>
        <w:kinsoku/>
        <w:wordWrap/>
        <w:overflowPunct/>
        <w:topLinePunct w:val="0"/>
        <w:autoSpaceDE/>
        <w:autoSpaceDN/>
        <w:bidi w:val="0"/>
        <w:adjustRightInd/>
        <w:snapToGrid/>
        <w:spacing w:line="560" w:lineRule="exact"/>
        <w:ind w:firstLine="320" w:firstLineChars="100"/>
        <w:jc w:val="left"/>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lang w:val="en-US" w:eastAsia="zh-CN"/>
        </w:rPr>
        <w:t>6.3.4</w:t>
      </w:r>
      <w:r>
        <w:rPr>
          <w:rFonts w:hint="eastAsia" w:ascii="仿宋" w:hAnsi="仿宋" w:eastAsia="仿宋" w:cs="仿宋"/>
          <w:b w:val="0"/>
          <w:bCs w:val="0"/>
          <w:sz w:val="32"/>
          <w:szCs w:val="32"/>
          <w:highlight w:val="none"/>
        </w:rPr>
        <w:t>提前制定实习计划</w:t>
      </w:r>
    </w:p>
    <w:p w14:paraId="1522C509">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 w:hAnsi="仿宋" w:eastAsia="仿宋" w:cs="仿宋"/>
          <w:b/>
          <w:bCs/>
          <w:sz w:val="32"/>
          <w:szCs w:val="32"/>
          <w:highlight w:val="none"/>
        </w:rPr>
      </w:pPr>
      <w:r>
        <w:rPr>
          <w:rFonts w:hint="eastAsia" w:ascii="仿宋" w:hAnsi="仿宋" w:eastAsia="仿宋" w:cs="仿宋"/>
          <w:b w:val="0"/>
          <w:bCs w:val="0"/>
          <w:sz w:val="32"/>
          <w:szCs w:val="32"/>
          <w:highlight w:val="none"/>
        </w:rPr>
        <w:t>学生实习前，根据专业人才培养方案，提前制定实习计划。实习岗位基本符合专业培养目标要求，与学生所学专业基本对口或相近。加强实习安全保障学生与企业共同制定实习计划，签订协议，对接就业，保障学生实习权。学校从严落实学生实习管理，做到就业指导课程与岗位实习对接，课堂与企业现场对接，学生实习与预就业对接。一是就业办对学生校外实习进行监督管理，各班主任协助专门负责本班学生；二是选择了合法经营、管理规范、劳保用品完备、符合安全生产法律法规要求的单位推荐学生实习；三是在实习开始前，根据各专业人才培养方案，与实习单位共同制定实习计划，明确实习目标，实习任务，实习准备，考核标准等；四是在实习过程中，学校选派经验丰富，业务素质良好，责任心强，安全方案意识高的实习指导教师和专门人员全程指导，共同管理学生实习；五是校企联合实习前摸底与宣传动员，实习中师带徒与定期检查，实习结束后总结反思等；六是建立教师实习指导机制，实习学生保证有专人负责管理，在学生毕业前，每个单位都安排专人负责学生与企业沟通联系，及时解决学生实习生活中的问题，强化实习过程管理。在学生实习过程中，实习指导教师和实习单位制定的专人负责学生实习期间的业务指导和日常管理工作，定期检查，及时处理实习中出现的有关问题，制定突发事件及安全员，做好相关记录，同时做好了学生实习情况的立卷归档工作。</w:t>
      </w:r>
    </w:p>
    <w:p w14:paraId="1E78314C">
      <w:pPr>
        <w:keepNext w:val="0"/>
        <w:keepLines w:val="0"/>
        <w:pageBreakBefore w:val="0"/>
        <w:kinsoku/>
        <w:wordWrap/>
        <w:overflowPunct/>
        <w:topLinePunct w:val="0"/>
        <w:autoSpaceDE/>
        <w:autoSpaceDN/>
        <w:bidi w:val="0"/>
        <w:adjustRightInd/>
        <w:snapToGrid/>
        <w:spacing w:line="560" w:lineRule="exact"/>
        <w:ind w:firstLine="321" w:firstLineChars="100"/>
        <w:jc w:val="left"/>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6.4 优秀毕业生实习案例</w:t>
      </w:r>
    </w:p>
    <w:p w14:paraId="2268292A">
      <w:pPr>
        <w:keepNext w:val="0"/>
        <w:keepLines w:val="0"/>
        <w:pageBreakBefore w:val="0"/>
        <w:kinsoku/>
        <w:wordWrap/>
        <w:overflowPunct/>
        <w:topLinePunct w:val="0"/>
        <w:autoSpaceDE/>
        <w:autoSpaceDN/>
        <w:bidi w:val="0"/>
        <w:adjustRightInd/>
        <w:snapToGrid/>
        <w:spacing w:line="560" w:lineRule="exact"/>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表</w:t>
      </w: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-优秀毕业生的案例</w:t>
      </w:r>
    </w:p>
    <w:tbl>
      <w:tblPr>
        <w:tblStyle w:val="5"/>
        <w:tblpPr w:leftFromText="180" w:rightFromText="180" w:vertAnchor="text" w:horzAnchor="page" w:tblpX="1880" w:tblpY="11"/>
        <w:tblOverlap w:val="never"/>
        <w:tblW w:w="92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5"/>
        <w:gridCol w:w="1080"/>
        <w:gridCol w:w="795"/>
        <w:gridCol w:w="690"/>
        <w:gridCol w:w="2235"/>
        <w:gridCol w:w="2940"/>
        <w:gridCol w:w="820"/>
      </w:tblGrid>
      <w:tr w14:paraId="76B59B97">
        <w:trPr>
          <w:trHeight w:val="525" w:hRule="atLeast"/>
        </w:trPr>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C4E2D6">
            <w:pPr>
              <w:keepNext w:val="0"/>
              <w:keepLines w:val="0"/>
              <w:widowControl/>
              <w:suppressLineNumbers w:val="0"/>
              <w:jc w:val="center"/>
              <w:textAlignment w:val="top"/>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080" w:type="dxa"/>
            <w:tcBorders>
              <w:top w:val="single" w:color="000000" w:sz="8" w:space="0"/>
              <w:left w:val="nil"/>
              <w:bottom w:val="single" w:color="000000" w:sz="8" w:space="0"/>
              <w:right w:val="single" w:color="000000" w:sz="8" w:space="0"/>
            </w:tcBorders>
            <w:shd w:val="clear" w:color="auto" w:fill="auto"/>
            <w:vAlign w:val="center"/>
          </w:tcPr>
          <w:p w14:paraId="40E40DE9">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姓名</w:t>
            </w:r>
          </w:p>
        </w:tc>
        <w:tc>
          <w:tcPr>
            <w:tcW w:w="795" w:type="dxa"/>
            <w:tcBorders>
              <w:top w:val="single" w:color="000000" w:sz="8" w:space="0"/>
              <w:left w:val="nil"/>
              <w:bottom w:val="single" w:color="000000" w:sz="8" w:space="0"/>
              <w:right w:val="single" w:color="000000" w:sz="8" w:space="0"/>
            </w:tcBorders>
            <w:shd w:val="clear" w:color="auto" w:fill="auto"/>
            <w:vAlign w:val="center"/>
          </w:tcPr>
          <w:p w14:paraId="292D112B">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入学时间</w:t>
            </w:r>
          </w:p>
        </w:tc>
        <w:tc>
          <w:tcPr>
            <w:tcW w:w="690" w:type="dxa"/>
            <w:tcBorders>
              <w:top w:val="single" w:color="000000" w:sz="8" w:space="0"/>
              <w:left w:val="nil"/>
              <w:bottom w:val="single" w:color="000000" w:sz="8" w:space="0"/>
              <w:right w:val="single" w:color="000000" w:sz="8" w:space="0"/>
            </w:tcBorders>
            <w:shd w:val="clear" w:color="auto" w:fill="auto"/>
            <w:vAlign w:val="center"/>
          </w:tcPr>
          <w:p w14:paraId="70A1B6D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到岗时间</w:t>
            </w:r>
          </w:p>
        </w:tc>
        <w:tc>
          <w:tcPr>
            <w:tcW w:w="2235" w:type="dxa"/>
            <w:tcBorders>
              <w:top w:val="single" w:color="000000" w:sz="8" w:space="0"/>
              <w:left w:val="nil"/>
              <w:bottom w:val="single" w:color="000000" w:sz="8" w:space="0"/>
              <w:right w:val="single" w:color="000000" w:sz="8" w:space="0"/>
            </w:tcBorders>
            <w:shd w:val="clear" w:color="auto" w:fill="auto"/>
            <w:vAlign w:val="center"/>
          </w:tcPr>
          <w:p w14:paraId="2AE97406">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专业</w:t>
            </w:r>
          </w:p>
        </w:tc>
        <w:tc>
          <w:tcPr>
            <w:tcW w:w="2940" w:type="dxa"/>
            <w:tcBorders>
              <w:top w:val="single" w:color="000000" w:sz="8" w:space="0"/>
              <w:left w:val="nil"/>
              <w:bottom w:val="single" w:color="000000" w:sz="8" w:space="0"/>
              <w:right w:val="single" w:color="000000" w:sz="8" w:space="0"/>
            </w:tcBorders>
            <w:shd w:val="clear" w:color="auto" w:fill="auto"/>
            <w:vAlign w:val="center"/>
          </w:tcPr>
          <w:p w14:paraId="3EA9438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工作单位</w:t>
            </w:r>
          </w:p>
        </w:tc>
        <w:tc>
          <w:tcPr>
            <w:tcW w:w="820" w:type="dxa"/>
            <w:tcBorders>
              <w:top w:val="single" w:color="000000" w:sz="8" w:space="0"/>
              <w:left w:val="nil"/>
              <w:bottom w:val="single" w:color="000000" w:sz="8" w:space="0"/>
              <w:right w:val="single" w:color="000000" w:sz="8" w:space="0"/>
            </w:tcBorders>
            <w:shd w:val="clear" w:color="auto" w:fill="auto"/>
            <w:vAlign w:val="center"/>
          </w:tcPr>
          <w:p w14:paraId="02CB097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备注</w:t>
            </w:r>
          </w:p>
        </w:tc>
      </w:tr>
      <w:tr w14:paraId="17909747">
        <w:trPr>
          <w:trHeight w:val="720" w:hRule="atLeast"/>
        </w:trPr>
        <w:tc>
          <w:tcPr>
            <w:tcW w:w="695" w:type="dxa"/>
            <w:tcBorders>
              <w:top w:val="nil"/>
              <w:left w:val="single" w:color="000000" w:sz="8" w:space="0"/>
              <w:bottom w:val="single" w:color="000000" w:sz="8" w:space="0"/>
              <w:right w:val="single" w:color="000000" w:sz="8" w:space="0"/>
            </w:tcBorders>
            <w:shd w:val="clear" w:color="auto" w:fill="auto"/>
            <w:vAlign w:val="center"/>
          </w:tcPr>
          <w:p w14:paraId="6AA2852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80" w:type="dxa"/>
            <w:tcBorders>
              <w:top w:val="nil"/>
              <w:left w:val="nil"/>
              <w:bottom w:val="single" w:color="000000" w:sz="8" w:space="0"/>
              <w:right w:val="single" w:color="000000" w:sz="8" w:space="0"/>
            </w:tcBorders>
            <w:shd w:val="clear" w:color="auto" w:fill="auto"/>
            <w:vAlign w:val="center"/>
          </w:tcPr>
          <w:p w14:paraId="6272FC82">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张海坤</w:t>
            </w:r>
          </w:p>
        </w:tc>
        <w:tc>
          <w:tcPr>
            <w:tcW w:w="795" w:type="dxa"/>
            <w:tcBorders>
              <w:top w:val="nil"/>
              <w:left w:val="nil"/>
              <w:bottom w:val="single" w:color="000000" w:sz="8" w:space="0"/>
              <w:right w:val="single" w:color="000000" w:sz="8" w:space="0"/>
            </w:tcBorders>
            <w:shd w:val="clear" w:color="auto" w:fill="auto"/>
            <w:vAlign w:val="center"/>
          </w:tcPr>
          <w:p w14:paraId="2B25C3C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2022</w:t>
            </w:r>
          </w:p>
        </w:tc>
        <w:tc>
          <w:tcPr>
            <w:tcW w:w="690" w:type="dxa"/>
            <w:tcBorders>
              <w:top w:val="nil"/>
              <w:left w:val="nil"/>
              <w:bottom w:val="single" w:color="000000" w:sz="8" w:space="0"/>
              <w:right w:val="single" w:color="000000" w:sz="8" w:space="0"/>
            </w:tcBorders>
            <w:shd w:val="clear" w:color="auto" w:fill="auto"/>
            <w:vAlign w:val="center"/>
          </w:tcPr>
          <w:p w14:paraId="234C6F56">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2025</w:t>
            </w:r>
          </w:p>
        </w:tc>
        <w:tc>
          <w:tcPr>
            <w:tcW w:w="2235" w:type="dxa"/>
            <w:tcBorders>
              <w:top w:val="nil"/>
              <w:left w:val="nil"/>
              <w:bottom w:val="single" w:color="000000" w:sz="8" w:space="0"/>
              <w:right w:val="single" w:color="000000" w:sz="8" w:space="0"/>
            </w:tcBorders>
            <w:shd w:val="clear" w:color="auto" w:fill="auto"/>
            <w:vAlign w:val="center"/>
          </w:tcPr>
          <w:p w14:paraId="68D5AB8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铁道车辆运用与检修</w:t>
            </w:r>
          </w:p>
        </w:tc>
        <w:tc>
          <w:tcPr>
            <w:tcW w:w="2940" w:type="dxa"/>
            <w:tcBorders>
              <w:top w:val="nil"/>
              <w:left w:val="nil"/>
              <w:bottom w:val="single" w:color="000000" w:sz="8" w:space="0"/>
              <w:right w:val="single" w:color="000000" w:sz="8" w:space="0"/>
            </w:tcBorders>
            <w:shd w:val="clear" w:color="auto" w:fill="auto"/>
            <w:vAlign w:val="center"/>
          </w:tcPr>
          <w:p w14:paraId="1E46B10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中铁电气化局集团第一工程有限公司天津维管项目部</w:t>
            </w:r>
          </w:p>
        </w:tc>
        <w:tc>
          <w:tcPr>
            <w:tcW w:w="820" w:type="dxa"/>
            <w:tcBorders>
              <w:top w:val="nil"/>
              <w:left w:val="nil"/>
              <w:bottom w:val="single" w:color="000000" w:sz="8" w:space="0"/>
              <w:right w:val="single" w:color="000000" w:sz="8" w:space="0"/>
            </w:tcBorders>
            <w:shd w:val="clear" w:color="auto" w:fill="auto"/>
            <w:vAlign w:val="center"/>
          </w:tcPr>
          <w:p w14:paraId="17FA846B">
            <w:pPr>
              <w:jc w:val="center"/>
              <w:rPr>
                <w:rFonts w:hint="eastAsia" w:ascii="仿宋" w:hAnsi="仿宋" w:eastAsia="仿宋" w:cs="仿宋"/>
                <w:i w:val="0"/>
                <w:iCs w:val="0"/>
                <w:color w:val="000000"/>
                <w:sz w:val="22"/>
                <w:szCs w:val="22"/>
                <w:u w:val="none"/>
              </w:rPr>
            </w:pPr>
          </w:p>
        </w:tc>
      </w:tr>
      <w:tr w14:paraId="2AA6D1E5">
        <w:trPr>
          <w:trHeight w:val="285" w:hRule="atLeast"/>
        </w:trPr>
        <w:tc>
          <w:tcPr>
            <w:tcW w:w="695" w:type="dxa"/>
            <w:tcBorders>
              <w:top w:val="nil"/>
              <w:left w:val="single" w:color="000000" w:sz="8" w:space="0"/>
              <w:bottom w:val="single" w:color="000000" w:sz="8" w:space="0"/>
              <w:right w:val="single" w:color="000000" w:sz="8" w:space="0"/>
            </w:tcBorders>
            <w:shd w:val="clear" w:color="auto" w:fill="auto"/>
            <w:vAlign w:val="center"/>
          </w:tcPr>
          <w:p w14:paraId="50E5EF3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80" w:type="dxa"/>
            <w:tcBorders>
              <w:top w:val="nil"/>
              <w:left w:val="nil"/>
              <w:bottom w:val="single" w:color="000000" w:sz="8" w:space="0"/>
              <w:right w:val="single" w:color="000000" w:sz="8" w:space="0"/>
            </w:tcBorders>
            <w:shd w:val="clear" w:color="auto" w:fill="auto"/>
            <w:vAlign w:val="center"/>
          </w:tcPr>
          <w:p w14:paraId="1415A535">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岳齐江</w:t>
            </w:r>
          </w:p>
        </w:tc>
        <w:tc>
          <w:tcPr>
            <w:tcW w:w="795" w:type="dxa"/>
            <w:tcBorders>
              <w:top w:val="nil"/>
              <w:left w:val="nil"/>
              <w:bottom w:val="single" w:color="000000" w:sz="8" w:space="0"/>
              <w:right w:val="single" w:color="000000" w:sz="8" w:space="0"/>
            </w:tcBorders>
            <w:shd w:val="clear" w:color="auto" w:fill="auto"/>
            <w:vAlign w:val="center"/>
          </w:tcPr>
          <w:p w14:paraId="07CF5D6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2021</w:t>
            </w:r>
          </w:p>
        </w:tc>
        <w:tc>
          <w:tcPr>
            <w:tcW w:w="690" w:type="dxa"/>
            <w:tcBorders>
              <w:top w:val="nil"/>
              <w:left w:val="nil"/>
              <w:bottom w:val="single" w:color="000000" w:sz="8" w:space="0"/>
              <w:right w:val="single" w:color="000000" w:sz="8" w:space="0"/>
            </w:tcBorders>
            <w:shd w:val="clear" w:color="auto" w:fill="auto"/>
            <w:vAlign w:val="center"/>
          </w:tcPr>
          <w:p w14:paraId="2EF96AFD">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2024</w:t>
            </w:r>
          </w:p>
        </w:tc>
        <w:tc>
          <w:tcPr>
            <w:tcW w:w="2235" w:type="dxa"/>
            <w:tcBorders>
              <w:top w:val="nil"/>
              <w:left w:val="nil"/>
              <w:bottom w:val="single" w:color="000000" w:sz="8" w:space="0"/>
              <w:right w:val="single" w:color="000000" w:sz="8" w:space="0"/>
            </w:tcBorders>
            <w:shd w:val="clear" w:color="auto" w:fill="auto"/>
            <w:vAlign w:val="center"/>
          </w:tcPr>
          <w:p w14:paraId="1274E1CA">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铁道供电</w:t>
            </w:r>
          </w:p>
        </w:tc>
        <w:tc>
          <w:tcPr>
            <w:tcW w:w="2940" w:type="dxa"/>
            <w:tcBorders>
              <w:top w:val="nil"/>
              <w:left w:val="nil"/>
              <w:bottom w:val="single" w:color="000000" w:sz="8" w:space="0"/>
              <w:right w:val="single" w:color="000000" w:sz="8" w:space="0"/>
            </w:tcBorders>
            <w:shd w:val="clear" w:color="auto" w:fill="auto"/>
            <w:vAlign w:val="center"/>
          </w:tcPr>
          <w:p w14:paraId="7453B923">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河北路桥建设有限公司</w:t>
            </w:r>
          </w:p>
        </w:tc>
        <w:tc>
          <w:tcPr>
            <w:tcW w:w="820" w:type="dxa"/>
            <w:tcBorders>
              <w:top w:val="nil"/>
              <w:left w:val="nil"/>
              <w:bottom w:val="single" w:color="000000" w:sz="8" w:space="0"/>
              <w:right w:val="single" w:color="000000" w:sz="8" w:space="0"/>
            </w:tcBorders>
            <w:shd w:val="clear" w:color="auto" w:fill="auto"/>
            <w:vAlign w:val="center"/>
          </w:tcPr>
          <w:p w14:paraId="71F3656A">
            <w:pPr>
              <w:jc w:val="center"/>
              <w:rPr>
                <w:rFonts w:hint="eastAsia" w:ascii="仿宋" w:hAnsi="仿宋" w:eastAsia="仿宋" w:cs="仿宋"/>
                <w:i w:val="0"/>
                <w:iCs w:val="0"/>
                <w:color w:val="000000"/>
                <w:sz w:val="22"/>
                <w:szCs w:val="22"/>
                <w:u w:val="none"/>
              </w:rPr>
            </w:pPr>
          </w:p>
        </w:tc>
      </w:tr>
      <w:tr w14:paraId="05B54A97">
        <w:trPr>
          <w:trHeight w:val="540" w:hRule="atLeast"/>
        </w:trPr>
        <w:tc>
          <w:tcPr>
            <w:tcW w:w="695" w:type="dxa"/>
            <w:tcBorders>
              <w:top w:val="nil"/>
              <w:left w:val="single" w:color="000000" w:sz="8" w:space="0"/>
              <w:bottom w:val="single" w:color="000000" w:sz="8" w:space="0"/>
              <w:right w:val="single" w:color="000000" w:sz="8" w:space="0"/>
            </w:tcBorders>
            <w:shd w:val="clear" w:color="auto" w:fill="auto"/>
            <w:vAlign w:val="center"/>
          </w:tcPr>
          <w:p w14:paraId="5C5470C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80" w:type="dxa"/>
            <w:tcBorders>
              <w:top w:val="nil"/>
              <w:left w:val="nil"/>
              <w:bottom w:val="single" w:color="000000" w:sz="8" w:space="0"/>
              <w:right w:val="single" w:color="000000" w:sz="8" w:space="0"/>
            </w:tcBorders>
            <w:shd w:val="clear" w:color="auto" w:fill="auto"/>
            <w:vAlign w:val="center"/>
          </w:tcPr>
          <w:p w14:paraId="1569EA14">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杨梦浩</w:t>
            </w:r>
          </w:p>
        </w:tc>
        <w:tc>
          <w:tcPr>
            <w:tcW w:w="795" w:type="dxa"/>
            <w:tcBorders>
              <w:top w:val="nil"/>
              <w:left w:val="nil"/>
              <w:bottom w:val="single" w:color="000000" w:sz="8" w:space="0"/>
              <w:right w:val="single" w:color="000000" w:sz="8" w:space="0"/>
            </w:tcBorders>
            <w:shd w:val="clear" w:color="auto" w:fill="auto"/>
            <w:vAlign w:val="center"/>
          </w:tcPr>
          <w:p w14:paraId="4CC1BF1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2021</w:t>
            </w:r>
          </w:p>
        </w:tc>
        <w:tc>
          <w:tcPr>
            <w:tcW w:w="690" w:type="dxa"/>
            <w:tcBorders>
              <w:top w:val="nil"/>
              <w:left w:val="nil"/>
              <w:bottom w:val="single" w:color="000000" w:sz="8" w:space="0"/>
              <w:right w:val="single" w:color="000000" w:sz="8" w:space="0"/>
            </w:tcBorders>
            <w:shd w:val="clear" w:color="auto" w:fill="auto"/>
            <w:vAlign w:val="center"/>
          </w:tcPr>
          <w:p w14:paraId="24270C4F">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2024</w:t>
            </w:r>
          </w:p>
        </w:tc>
        <w:tc>
          <w:tcPr>
            <w:tcW w:w="2235" w:type="dxa"/>
            <w:tcBorders>
              <w:top w:val="nil"/>
              <w:left w:val="nil"/>
              <w:bottom w:val="single" w:color="000000" w:sz="8" w:space="0"/>
              <w:right w:val="single" w:color="000000" w:sz="8" w:space="0"/>
            </w:tcBorders>
            <w:shd w:val="clear" w:color="auto" w:fill="auto"/>
            <w:vAlign w:val="center"/>
          </w:tcPr>
          <w:p w14:paraId="7872A507">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城轨供电</w:t>
            </w:r>
          </w:p>
        </w:tc>
        <w:tc>
          <w:tcPr>
            <w:tcW w:w="2940" w:type="dxa"/>
            <w:tcBorders>
              <w:top w:val="nil"/>
              <w:left w:val="nil"/>
              <w:bottom w:val="single" w:color="000000" w:sz="8" w:space="0"/>
              <w:right w:val="single" w:color="000000" w:sz="8" w:space="0"/>
            </w:tcBorders>
            <w:shd w:val="clear" w:color="auto" w:fill="auto"/>
            <w:vAlign w:val="center"/>
          </w:tcPr>
          <w:p w14:paraId="05753988">
            <w:pPr>
              <w:keepNext w:val="0"/>
              <w:keepLines w:val="0"/>
              <w:widowControl/>
              <w:suppressLineNumbers w:val="0"/>
              <w:jc w:val="center"/>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江苏省工业设备安装集团有限公司</w:t>
            </w:r>
          </w:p>
        </w:tc>
        <w:tc>
          <w:tcPr>
            <w:tcW w:w="820" w:type="dxa"/>
            <w:tcBorders>
              <w:top w:val="nil"/>
              <w:left w:val="nil"/>
              <w:bottom w:val="single" w:color="000000" w:sz="8" w:space="0"/>
              <w:right w:val="single" w:color="000000" w:sz="8" w:space="0"/>
            </w:tcBorders>
            <w:shd w:val="clear" w:color="auto" w:fill="auto"/>
            <w:noWrap/>
            <w:vAlign w:val="center"/>
          </w:tcPr>
          <w:p w14:paraId="152E95EF">
            <w:pPr>
              <w:jc w:val="center"/>
              <w:rPr>
                <w:rFonts w:hint="eastAsia" w:ascii="宋体" w:hAnsi="宋体" w:eastAsia="宋体" w:cs="宋体"/>
                <w:i w:val="0"/>
                <w:iCs w:val="0"/>
                <w:color w:val="000000"/>
                <w:sz w:val="24"/>
                <w:szCs w:val="24"/>
                <w:u w:val="none"/>
              </w:rPr>
            </w:pPr>
          </w:p>
        </w:tc>
      </w:tr>
    </w:tbl>
    <w:p w14:paraId="2BEE273F">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rPr>
        <w:t>案例1</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中铁电气化局</w:t>
      </w:r>
    </w:p>
    <w:p w14:paraId="0D5AE2C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集团第一工程有限公司天津维管项目部—张海坤</w:t>
      </w:r>
      <w:r>
        <w:rPr>
          <w:rFonts w:hint="eastAsia" w:ascii="仿宋" w:hAnsi="仿宋" w:eastAsia="仿宋" w:cs="仿宋"/>
          <w:sz w:val="32"/>
          <w:szCs w:val="32"/>
          <w:highlight w:val="none"/>
          <w:lang w:eastAsia="zh-CN"/>
        </w:rPr>
        <w:t>。</w:t>
      </w:r>
    </w:p>
    <w:p w14:paraId="7CCCC42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position w:val="-106"/>
          <w:highlight w:val="none"/>
        </w:rPr>
      </w:pPr>
      <w:r>
        <w:rPr>
          <w:rFonts w:hint="eastAsia" w:ascii="仿宋" w:hAnsi="仿宋" w:eastAsia="仿宋" w:cs="仿宋"/>
          <w:sz w:val="32"/>
          <w:szCs w:val="32"/>
          <w:highlight w:val="none"/>
        </w:rPr>
        <w:t>在实习过程中，我充分的了解到实践的重要性。我体会到了实际的工作与书本上的知识是有一定距离，对自己专业有了更为详尽而深刻的了解，也是对学校所学知识的巩固与运用。目前已与电气化局指定劳务公司签订派遣合同。</w:t>
      </w:r>
    </w:p>
    <w:p w14:paraId="44758CC5">
      <w:pPr>
        <w:keepNext w:val="0"/>
        <w:keepLines w:val="0"/>
        <w:pageBreakBefore w:val="0"/>
        <w:kinsoku/>
        <w:wordWrap/>
        <w:overflowPunct/>
        <w:topLinePunct w:val="0"/>
        <w:autoSpaceDE/>
        <w:autoSpaceDN/>
        <w:bidi w:val="0"/>
        <w:adjustRightInd/>
        <w:snapToGrid/>
        <w:spacing w:line="560" w:lineRule="exact"/>
        <w:ind w:firstLine="420" w:firstLineChars="200"/>
        <w:rPr>
          <w:rFonts w:hint="eastAsia" w:ascii="仿宋" w:hAnsi="仿宋" w:eastAsia="仿宋" w:cs="仿宋"/>
          <w:sz w:val="32"/>
          <w:szCs w:val="32"/>
          <w:highlight w:val="none"/>
        </w:rPr>
      </w:pPr>
      <w:r>
        <w:rPr>
          <w:highlight w:val="none"/>
        </w:rPr>
        <w:drawing>
          <wp:anchor distT="0" distB="0" distL="0" distR="0" simplePos="0" relativeHeight="251665408" behindDoc="0" locked="0" layoutInCell="1" allowOverlap="1">
            <wp:simplePos x="0" y="0"/>
            <wp:positionH relativeFrom="column">
              <wp:posOffset>2950845</wp:posOffset>
            </wp:positionH>
            <wp:positionV relativeFrom="paragraph">
              <wp:posOffset>232410</wp:posOffset>
            </wp:positionV>
            <wp:extent cx="2572385" cy="1929130"/>
            <wp:effectExtent l="0" t="0" r="18415" b="1397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9"/>
                    <a:stretch>
                      <a:fillRect/>
                    </a:stretch>
                  </pic:blipFill>
                  <pic:spPr>
                    <a:xfrm>
                      <a:off x="0" y="0"/>
                      <a:ext cx="2572385" cy="1929130"/>
                    </a:xfrm>
                    <a:prstGeom prst="rect">
                      <a:avLst/>
                    </a:prstGeom>
                  </pic:spPr>
                </pic:pic>
              </a:graphicData>
            </a:graphic>
          </wp:anchor>
        </w:drawing>
      </w:r>
      <w:r>
        <w:rPr>
          <w:position w:val="-61"/>
          <w:highlight w:val="none"/>
        </w:rPr>
        <w:drawing>
          <wp:anchor distT="0" distB="0" distL="0" distR="0" simplePos="0" relativeHeight="251683840" behindDoc="0" locked="0" layoutInCell="1" allowOverlap="1">
            <wp:simplePos x="0" y="0"/>
            <wp:positionH relativeFrom="column">
              <wp:posOffset>47625</wp:posOffset>
            </wp:positionH>
            <wp:positionV relativeFrom="paragraph">
              <wp:posOffset>203200</wp:posOffset>
            </wp:positionV>
            <wp:extent cx="2611755" cy="1958340"/>
            <wp:effectExtent l="0" t="0" r="17145" b="3810"/>
            <wp:wrapTopAndBottom/>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0"/>
                    <a:stretch>
                      <a:fillRect/>
                    </a:stretch>
                  </pic:blipFill>
                  <pic:spPr>
                    <a:xfrm>
                      <a:off x="0" y="0"/>
                      <a:ext cx="2612135" cy="1958340"/>
                    </a:xfrm>
                    <a:prstGeom prst="rect">
                      <a:avLst/>
                    </a:prstGeom>
                  </pic:spPr>
                </pic:pic>
              </a:graphicData>
            </a:graphic>
          </wp:anchor>
        </w:drawing>
      </w:r>
      <w:r>
        <w:rPr>
          <w:rFonts w:hint="eastAsia" w:ascii="仿宋" w:hAnsi="仿宋" w:eastAsia="仿宋" w:cs="仿宋"/>
          <w:sz w:val="32"/>
          <w:szCs w:val="32"/>
          <w:highlight w:val="none"/>
        </w:rPr>
        <w:t>案例</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河北路桥建设有限公司复兴大街视频监控岗—岳齐江</w:t>
      </w:r>
    </w:p>
    <w:p w14:paraId="44D68B3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岳齐江（铁道供电专业）：就职于河北路桥建设有限公司，通过实习明确职业规划，现任视频监控岗位小组组长</w:t>
      </w:r>
    </w:p>
    <w:p w14:paraId="711067F9">
      <w:pPr>
        <w:keepNext w:val="0"/>
        <w:keepLines w:val="0"/>
        <w:pageBreakBefore w:val="0"/>
        <w:kinsoku/>
        <w:wordWrap/>
        <w:overflowPunct/>
        <w:topLinePunct w:val="0"/>
        <w:autoSpaceDE/>
        <w:autoSpaceDN/>
        <w:bidi w:val="0"/>
        <w:adjustRightInd/>
        <w:snapToGrid/>
        <w:spacing w:line="560" w:lineRule="exact"/>
        <w:ind w:firstLine="420" w:firstLineChars="200"/>
        <w:rPr>
          <w:rFonts w:hint="eastAsia" w:ascii="仿宋" w:hAnsi="仿宋" w:eastAsia="仿宋" w:cs="仿宋"/>
          <w:sz w:val="32"/>
          <w:szCs w:val="32"/>
          <w:highlight w:val="none"/>
        </w:rPr>
      </w:pPr>
      <w:r>
        <w:rPr>
          <w:position w:val="-106"/>
          <w:highlight w:val="none"/>
        </w:rPr>
        <w:drawing>
          <wp:anchor distT="0" distB="0" distL="0" distR="0" simplePos="0" relativeHeight="251685888" behindDoc="0" locked="0" layoutInCell="1" allowOverlap="1">
            <wp:simplePos x="0" y="0"/>
            <wp:positionH relativeFrom="column">
              <wp:posOffset>2695575</wp:posOffset>
            </wp:positionH>
            <wp:positionV relativeFrom="paragraph">
              <wp:posOffset>182880</wp:posOffset>
            </wp:positionV>
            <wp:extent cx="2453640" cy="3368675"/>
            <wp:effectExtent l="0" t="0" r="3810" b="3175"/>
            <wp:wrapTopAndBottom/>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1"/>
                    <a:stretch>
                      <a:fillRect/>
                    </a:stretch>
                  </pic:blipFill>
                  <pic:spPr>
                    <a:xfrm>
                      <a:off x="0" y="0"/>
                      <a:ext cx="2453640" cy="3368675"/>
                    </a:xfrm>
                    <a:prstGeom prst="rect">
                      <a:avLst/>
                    </a:prstGeom>
                  </pic:spPr>
                </pic:pic>
              </a:graphicData>
            </a:graphic>
          </wp:anchor>
        </w:drawing>
      </w:r>
      <w:r>
        <w:rPr>
          <w:position w:val="-106"/>
          <w:highlight w:val="none"/>
        </w:rPr>
        <w:drawing>
          <wp:anchor distT="0" distB="0" distL="0" distR="0" simplePos="0" relativeHeight="251684864" behindDoc="0" locked="0" layoutInCell="1" allowOverlap="1">
            <wp:simplePos x="0" y="0"/>
            <wp:positionH relativeFrom="column">
              <wp:posOffset>-85725</wp:posOffset>
            </wp:positionH>
            <wp:positionV relativeFrom="paragraph">
              <wp:posOffset>227965</wp:posOffset>
            </wp:positionV>
            <wp:extent cx="2574925" cy="3371215"/>
            <wp:effectExtent l="0" t="0" r="15875" b="635"/>
            <wp:wrapTopAndBottom/>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2"/>
                    <a:stretch>
                      <a:fillRect/>
                    </a:stretch>
                  </pic:blipFill>
                  <pic:spPr>
                    <a:xfrm>
                      <a:off x="0" y="0"/>
                      <a:ext cx="2574925" cy="3371215"/>
                    </a:xfrm>
                    <a:prstGeom prst="rect">
                      <a:avLst/>
                    </a:prstGeom>
                  </pic:spPr>
                </pic:pic>
              </a:graphicData>
            </a:graphic>
          </wp:anchor>
        </w:drawing>
      </w:r>
      <w:r>
        <w:rPr>
          <w:rFonts w:hint="eastAsia" w:ascii="仿宋" w:hAnsi="仿宋" w:eastAsia="仿宋" w:cs="仿宋"/>
          <w:sz w:val="32"/>
          <w:szCs w:val="32"/>
          <w:highlight w:val="none"/>
        </w:rPr>
        <w:t>案例</w:t>
      </w: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江苏省工业设备安装集团有限公司—杨梦浩</w:t>
      </w:r>
    </w:p>
    <w:p w14:paraId="4BAF63A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杨梦浩（城轨供电专业）：经学校系统就业指导后，入职江苏省工业设备安装集团有限公司，在专业对口岗位上积极学习，快速成长。</w:t>
      </w:r>
    </w:p>
    <w:p w14:paraId="59AEDF65">
      <w:pPr>
        <w:keepNext w:val="0"/>
        <w:keepLines w:val="0"/>
        <w:pageBreakBefore w:val="0"/>
        <w:kinsoku/>
        <w:wordWrap/>
        <w:overflowPunct/>
        <w:topLinePunct w:val="0"/>
        <w:autoSpaceDE/>
        <w:autoSpaceDN/>
        <w:bidi w:val="0"/>
        <w:adjustRightInd/>
        <w:snapToGrid/>
        <w:spacing w:line="560" w:lineRule="exact"/>
        <w:ind w:firstLine="420" w:firstLineChars="200"/>
        <w:rPr>
          <w:rFonts w:hint="eastAsia" w:ascii="仿宋" w:hAnsi="仿宋" w:eastAsia="仿宋" w:cs="仿宋"/>
          <w:sz w:val="32"/>
          <w:szCs w:val="32"/>
          <w:highlight w:val="none"/>
        </w:rPr>
      </w:pPr>
      <w:r>
        <w:rPr>
          <w:position w:val="-75"/>
          <w:highlight w:val="none"/>
        </w:rPr>
        <w:drawing>
          <wp:anchor distT="0" distB="0" distL="0" distR="0" simplePos="0" relativeHeight="251687936" behindDoc="0" locked="0" layoutInCell="1" allowOverlap="1">
            <wp:simplePos x="0" y="0"/>
            <wp:positionH relativeFrom="column">
              <wp:posOffset>3019425</wp:posOffset>
            </wp:positionH>
            <wp:positionV relativeFrom="paragraph">
              <wp:posOffset>116840</wp:posOffset>
            </wp:positionV>
            <wp:extent cx="2444115" cy="3127375"/>
            <wp:effectExtent l="0" t="0" r="13335" b="15875"/>
            <wp:wrapTopAndBottom/>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3"/>
                    <a:stretch>
                      <a:fillRect/>
                    </a:stretch>
                  </pic:blipFill>
                  <pic:spPr>
                    <a:xfrm>
                      <a:off x="0" y="0"/>
                      <a:ext cx="2444115" cy="3127375"/>
                    </a:xfrm>
                    <a:prstGeom prst="rect">
                      <a:avLst/>
                    </a:prstGeom>
                  </pic:spPr>
                </pic:pic>
              </a:graphicData>
            </a:graphic>
          </wp:anchor>
        </w:drawing>
      </w:r>
      <w:r>
        <w:rPr>
          <w:position w:val="-78"/>
          <w:highlight w:val="none"/>
        </w:rPr>
        <w:drawing>
          <wp:anchor distT="0" distB="0" distL="0" distR="0" simplePos="0" relativeHeight="251686912" behindDoc="0" locked="0" layoutInCell="1" allowOverlap="1">
            <wp:simplePos x="0" y="0"/>
            <wp:positionH relativeFrom="column">
              <wp:posOffset>104775</wp:posOffset>
            </wp:positionH>
            <wp:positionV relativeFrom="paragraph">
              <wp:posOffset>97155</wp:posOffset>
            </wp:positionV>
            <wp:extent cx="2674620" cy="3074035"/>
            <wp:effectExtent l="0" t="0" r="11430" b="12065"/>
            <wp:wrapTopAndBottom/>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4"/>
                    <a:stretch>
                      <a:fillRect/>
                    </a:stretch>
                  </pic:blipFill>
                  <pic:spPr>
                    <a:xfrm>
                      <a:off x="0" y="0"/>
                      <a:ext cx="2674620" cy="3074035"/>
                    </a:xfrm>
                    <a:prstGeom prst="rect">
                      <a:avLst/>
                    </a:prstGeom>
                  </pic:spPr>
                </pic:pic>
              </a:graphicData>
            </a:graphic>
          </wp:anchor>
        </w:drawing>
      </w:r>
      <w:r>
        <w:rPr>
          <w:rFonts w:hint="eastAsia"/>
          <w:position w:val="-78"/>
          <w:highlight w:val="none"/>
          <w:lang w:val="en-US" w:eastAsia="zh-CN"/>
        </w:rPr>
        <w:t xml:space="preserve">  </w:t>
      </w:r>
      <w:r>
        <w:rPr>
          <w:rFonts w:hint="eastAsia" w:ascii="仿宋" w:hAnsi="仿宋" w:eastAsia="仿宋" w:cs="仿宋"/>
          <w:sz w:val="32"/>
          <w:szCs w:val="32"/>
          <w:highlight w:val="none"/>
        </w:rPr>
        <w:t>实习管理方面，为了提高学生的实习安全稳定率，学校制定了实习前三个月班主任管理实习学生的制度，学生与班主任有长时间的感情和信任基础，学生有问题直接反馈给班主任，班主任联系专职指导教师协调解决学生实习期间出现的问题。目前学生在岗稳定率85%以上，离岗学生均在班主任及专职指导教师的跟踪下接受了思想教育并改正，与家长保持联系，安全到家。</w:t>
      </w:r>
    </w:p>
    <w:p w14:paraId="700F229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在学生实习过程中建立了完善的学生实习台账，《实习学生基本情况登记表》、《实习工作日志》、《实习跟踪记录表》、《突发事件记录》、《离职学生思想教育登记表》、等多项相关情况台账，明确了责任人和时间节点，确保实习台账真实，为学生实习工作愈发规范提供宝贵经验和数据支撑。</w:t>
      </w:r>
    </w:p>
    <w:p w14:paraId="169FA9DE">
      <w:pPr>
        <w:keepNext w:val="0"/>
        <w:keepLines w:val="0"/>
        <w:pageBreakBefore w:val="0"/>
        <w:kinsoku/>
        <w:wordWrap/>
        <w:overflowPunct/>
        <w:topLinePunct w:val="0"/>
        <w:autoSpaceDE/>
        <w:autoSpaceDN/>
        <w:bidi w:val="0"/>
        <w:adjustRightInd/>
        <w:snapToGrid/>
        <w:spacing w:line="560" w:lineRule="exact"/>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、发展保障</w:t>
      </w:r>
    </w:p>
    <w:p w14:paraId="1697E200">
      <w:pPr>
        <w:keepNext w:val="0"/>
        <w:keepLines w:val="0"/>
        <w:pageBreakBefore w:val="0"/>
        <w:kinsoku/>
        <w:wordWrap/>
        <w:overflowPunct/>
        <w:topLinePunct w:val="0"/>
        <w:autoSpaceDE/>
        <w:autoSpaceDN/>
        <w:bidi w:val="0"/>
        <w:adjustRightInd/>
        <w:snapToGrid/>
        <w:spacing w:line="560" w:lineRule="exact"/>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.1政策落实</w:t>
      </w:r>
    </w:p>
    <w:p w14:paraId="190BED0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积极落实国家层级各项政策服务业教育教学。在上级部门核定的办学规模内，自主提出年度招生计划和招生范围方案并报教育主管部门备案。学校根据国家战略需求和经济社会发展需要，依法依规设置和调整学科专业。</w:t>
      </w:r>
    </w:p>
    <w:p w14:paraId="1FE5115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.2</w:t>
      </w:r>
      <w:r>
        <w:rPr>
          <w:rFonts w:hint="eastAsia" w:ascii="仿宋" w:hAnsi="仿宋" w:eastAsia="仿宋" w:cs="仿宋"/>
          <w:sz w:val="32"/>
          <w:szCs w:val="32"/>
          <w:highlight w:val="none"/>
          <w:lang w:val="en-US" w:eastAsia="zh-CN"/>
        </w:rPr>
        <w:t>制度保障</w:t>
      </w:r>
    </w:p>
    <w:p w14:paraId="1B654DF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学校以章程为统领，系统构建了“一章八制”为核心的现代学校制度体系，为高质量发展提供了坚实的制度基础。2024年度，完成对《学校理事会章程》《教学管理工作条例》等12项核心制度的修订，确保其与《职业教育法》修订精神及学校发展新阶段要求相适应。在制定制度的过程中，注意坚持走群众路线，注意发挥教代会的作用，从群众中来，到群众中去，密切联系群众，集思广益，发挥集体智慧，群策群力，民主协商，共同参与。做到管理搭台，制度唱戏，完善制度，强化管理，创造一种既有民主又有集中，既有组织纪律又有个人心情舒畅自由的环境，唱好领导、教师、学生管理三部曲，以制度建设和管理为契机，激发斗志，凝聚意志，严谨治学，向管理要效益，促进学校的可持续发展。</w:t>
      </w:r>
    </w:p>
    <w:p w14:paraId="531F162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.3学校治理</w:t>
      </w:r>
    </w:p>
    <w:p w14:paraId="334B96B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坚持和完善党支部领导下的校长负责制，进一步完善学校决策管理机制。并按上级主管部门的要求进行了详细分工,建立健全了各种组织机构，安排了具体的负责人，完善了各级领导责任制。建立了校办公室、学生科、教务科、招生办、就业办、总务科等机构。校党支部是学校的领导核心，总揽全局，协调各方，统一领导学校工作，集体讨论决定涉及学校改革发展稳定，关系教职工切身利益的重大事项的决策、重要干部的任免、重要项目的安排和大额度资金的使用等重大问题，支持校长独立负责地行使职权；校长在党支部领导下，全面负责学校的教学、科学研究和其他行政管理工作。学校不断完善议事决策规则，科学界定党支部委员会和校长办公会研究决策事项的范围和程序，加强沟通与协调，健全集体领导和个人分工负责相结合的制度，按照“科学定位、合理分工、充分授权、各负其责”的原则，明确党支部委员的权责，合理调整领导班子成员分工，既强化委员会集体领导，又注重发挥每位常委的积极性和主动性。学校推进科学管理，发挥学术委员会、专业建设委员会、教材委员会等各类专门委员会为主体的学术权利体系等的作用，建立了督导室督导审查制度，围绕内涵式发展、科学发展的导向，把工作重心转移到提高办学质量上来，不断提升学校办学治校水平。</w:t>
      </w:r>
    </w:p>
    <w:p w14:paraId="65FB8320">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几年来，党支部领导与校长负责相辅相成，成为一个有机整体，学校党政一把手之间、新老班子成员之间，以及学校领导班子之间始终保持了团结合作、共谋发展的和谐局面，保持领导班子协调高效运转，增强了领导班子的创造力、凝聚力和战斗力。</w:t>
      </w:r>
    </w:p>
    <w:p w14:paraId="79315EF8">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在明确党支部、行政和校长的权责，规范党支部委员会、校长办公会等议事决策机制的基础上，建立了教代会制度，将涉及学校长远发展、教职工切身利益方面的重大问题提交教代会审议。学校立足于进一步增强学校办学活力，充分调动和发挥学校的办学积极性，实现管理工作重心下移，主要建立了两项制度：一是党政联席会议制度，作为学校集体领导的主要形式，是学校党政决策的最高机构。涉及“三重一大”的议题，必须由党政联席会议按照民主集中制的原则集体讨论决定。二是推行教代会制度，涉及有关学校发展规划、重大改革方案和教职工利益的重大问题交由教代会讨论，将学校的民主管理落到了实处。重视发挥教代会作用，坚持每年召开一次。</w:t>
      </w:r>
    </w:p>
    <w:p w14:paraId="30402304">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始终坚持把领导干部作风建设摆在重要位置，坚持以密切联系师生为重点，大力倡导求真务实的工作作风，切实增强了领导干部的凝聚力和战斗力。建立了校领导联系学校、学生班级制度，校领导带头担任学生班主任制度，校级领导干部听课、巡考、深入学生宿舍、课堂等制度。强化调查研究，书记、校长每学期走访每个科室，班子成员经常性深入学校开展专题调研或现场解决问题。狠抓工作落实，每年都将全校重点工作任务进行分解，分别落实到班子成员和相关处室，明确完成时限和质量要求，切实保证任务落到实处，并将办理成效纳入年度工作考核。</w:t>
      </w:r>
    </w:p>
    <w:p w14:paraId="6DEAAAE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学校把为师生办实事作为班子工作的一条准则，着力解决师生最关心、最直接、最现实的利益问题。针对师生普遍反映和关注的实际问题，每年在工作要点中安排3--5项逐步加以解决。</w:t>
      </w:r>
    </w:p>
    <w:p w14:paraId="79182D6D">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7</w:t>
      </w:r>
      <w:r>
        <w:rPr>
          <w:rFonts w:hint="eastAsia" w:ascii="仿宋" w:hAnsi="仿宋" w:eastAsia="仿宋" w:cs="仿宋"/>
          <w:sz w:val="32"/>
          <w:szCs w:val="32"/>
          <w:highlight w:val="none"/>
        </w:rPr>
        <w:t>.4质量保证体系建设</w:t>
      </w:r>
    </w:p>
    <w:p w14:paraId="777718C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深化产教融合、校企合作”是党的十九大为职业教育提出的明确方向。产教融合、校企合作是职业教育办学的基本模式，是培养高素质劳动者和技术技能人才的内在要求，也是办好职业教育的关键所在。新铁职业高级中学为提升人才培养质量，在近20年的办学历程中，校俚合作经历了三个阶段：一是简单供求关系放养型阶段；二是订单培养紧密型阶段；三是全方位合作深度型阶段。按此划分，学校现阶段校企合作处于全方位合作深度型阶段。在此阶段学校人才培养方案、生产实践教学、校企联合办学、教材资源建设、兼职教师队伍建设、学校评价模式均有企业全程参与，同时学校为企业提供优质服务和人才保障。新铁职业高级中学创建了集教学、实训、实习、就业“四维一体”的培养方式。其中最为代表的就是工业机器人专业。</w:t>
      </w:r>
    </w:p>
    <w:p w14:paraId="73FAC3B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专业教师、企业实践身双融合。深度校企合作是建立在校企双方信任、尊重、共赢的基础上的，在合作协议框架下开展共同育人、互相促进等各项实践探分析。学校的工业机器人专业在深度校企合作实践探索中。专业带头人同时接受企业培训，企业的专业员工同时为学校传授专业知识，将企业的实践内容与教学计划方案统一安排，人员、资源统一调度，实现在企业实践和专业教学统一安排管理，企业人员和教学人员相互流动。保证企业实践与专业教学实践的有机融合。</w:t>
      </w:r>
    </w:p>
    <w:p w14:paraId="23A22A0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2）教学过程与企业实践双融合。机器人专业无论是引企入校模式还是订单冠名班模式，都能够在教学践过程中，很好地将实践环境转变为教学环境，实践项目转变为教学项目，实践流程转变为教学过程，教学结果转变为实践结果，从而将专业教学过程与企业实践融为一体。</w:t>
      </w:r>
    </w:p>
    <w:p w14:paraId="1F6B010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提升了学生职业技能和就业能力。学生在校完成了计算机、电工等专业技能证的考取；就业率在85%左右，对口就业率&gt;70%。工业机器人专业赢得了用人单位的认可与好评。工业机器人专业从属于机电专业，工业机器人专业在用人单位赢得的认可，提升了机电专业整体的影响力，使得机电专业的招生人数也连年上升。</w:t>
      </w:r>
    </w:p>
    <w:p w14:paraId="6A032C1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4）提升了专业建设的影响力。新铁职业高级中学以职业岗位能力提升为宗旨，注重工作过程与实践训练，受到用人单位青睐。未来也将加强校企合作，持续推进人才培养模式的创新，提升人才培养质量，实现可持续发展。</w:t>
      </w:r>
    </w:p>
    <w:p w14:paraId="636519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1" w:firstLineChars="200"/>
        <w:jc w:val="left"/>
        <w:textAlignment w:val="auto"/>
        <w:outlineLvl w:val="1"/>
        <w:rPr>
          <w:rFonts w:hint="eastAsia" w:ascii="楷体_GB2312" w:hAnsi="楷体_GB2312" w:eastAsia="楷体_GB2312" w:cs="楷体_GB2312"/>
          <w:b/>
          <w:bCs/>
          <w:color w:val="000000"/>
          <w:sz w:val="32"/>
          <w:szCs w:val="32"/>
          <w:highlight w:val="none"/>
          <w:lang w:val="en-US" w:eastAsia="zh-CN"/>
        </w:rPr>
      </w:pPr>
      <w:bookmarkStart w:id="14" w:name="_Toc5218"/>
      <w:r>
        <w:rPr>
          <w:rFonts w:hint="eastAsia" w:ascii="楷体_GB2312" w:hAnsi="楷体_GB2312" w:eastAsia="楷体_GB2312" w:cs="楷体_GB2312"/>
          <w:b/>
          <w:bCs/>
          <w:color w:val="000000"/>
          <w:sz w:val="32"/>
          <w:szCs w:val="32"/>
          <w:highlight w:val="none"/>
          <w:lang w:val="en-US" w:eastAsia="zh-CN"/>
        </w:rPr>
        <w:t>7.5 经费统筹与条件资源保障</w:t>
      </w:r>
      <w:bookmarkEnd w:id="14"/>
    </w:p>
    <w:p w14:paraId="66BE73A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在收入来源锐减的严峻形势下，学校通过科学的财务管理和精准的资源调配，全力保障核心教育教学活动的开展和校园基本运行。</w:t>
      </w:r>
    </w:p>
    <w:p w14:paraId="2B31D1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000000"/>
          <w:sz w:val="32"/>
          <w:szCs w:val="32"/>
          <w:highlight w:val="none"/>
          <w:lang w:val="en-US" w:eastAsia="zh-CN"/>
        </w:rPr>
      </w:pPr>
      <w:bookmarkStart w:id="15" w:name="_Toc18346"/>
      <w:r>
        <w:rPr>
          <w:rFonts w:hint="eastAsia" w:ascii="仿宋_GB2312" w:hAnsi="仿宋_GB2312" w:eastAsia="仿宋_GB2312" w:cs="仿宋_GB2312"/>
          <w:b/>
          <w:bCs/>
          <w:color w:val="000000"/>
          <w:sz w:val="32"/>
          <w:szCs w:val="32"/>
          <w:highlight w:val="none"/>
          <w:lang w:val="en-US" w:eastAsia="zh-CN"/>
        </w:rPr>
        <w:t>7.5.1 实施“以收定支、保主保重”的财务策略</w:t>
      </w:r>
      <w:bookmarkEnd w:id="15"/>
    </w:p>
    <w:p w14:paraId="561093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学校财务工作坚决贯彻“过紧日子”的思想，制定了极为审慎的2024-2025学年及后续财务预算。</w:t>
      </w:r>
    </w:p>
    <w:p w14:paraId="3E15AA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收入端：主要依赖学生的学费、住宿费收入。学校对收入进行了保守预估。支出端：实行严格的全面预算管理和成本控制。大幅压减行政管理、市场宣传、非必要差旅等公用经费。将有限的资金进行优先级排序，绝对优先保障以下方面：人员经费：确保核心教职工薪酬按时足额发放，维护队伍稳定。直接教学经费：保障教学仪器设备维护、实训耗材、图书更新、体育器材等直接用于学生培养的支出。学生资助与活动经费：保障国家政策要求的助学金发放，以及必要的学生文体活动、技能竞赛、就业指导等经费。校园基本运维与安全经费：保障校舍安全、水电网络、基本保洁安保等维持学校最低限度运转的支出。</w:t>
      </w:r>
    </w:p>
    <w:p w14:paraId="2D061A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000000"/>
          <w:sz w:val="32"/>
          <w:szCs w:val="32"/>
          <w:highlight w:val="none"/>
          <w:lang w:val="en-US" w:eastAsia="zh-CN"/>
        </w:rPr>
      </w:pPr>
      <w:bookmarkStart w:id="16" w:name="_Toc7638"/>
      <w:r>
        <w:rPr>
          <w:rFonts w:hint="eastAsia" w:ascii="仿宋_GB2312" w:hAnsi="仿宋_GB2312" w:eastAsia="仿宋_GB2312" w:cs="仿宋_GB2312"/>
          <w:b/>
          <w:bCs/>
          <w:color w:val="000000"/>
          <w:sz w:val="32"/>
          <w:szCs w:val="32"/>
          <w:highlight w:val="none"/>
          <w:lang w:val="en-US" w:eastAsia="zh-CN"/>
        </w:rPr>
        <w:t>7.5.2 精准配置与挖潜增效，提升资源使用效能。</w:t>
      </w:r>
      <w:bookmarkEnd w:id="16"/>
    </w:p>
    <w:p w14:paraId="563D72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面对生均资源相对充裕但总量受限的局面，学校致力于提升资源使用效率。</w:t>
      </w:r>
    </w:p>
    <w:p w14:paraId="03DE642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教学设施设备：对现有校内实训室进行整合与优化，实行预约制共享管理，提高使用率。建立设备维护保养台账，延长使用寿命。对于确需更新的核心设备，进行精准投入。为确保汽车专业学生实训需求，对部分关键检测设备进行了维护。图书与信息化资源：暂停大规模纸质图书采购，引导学生利用优质数字资源。优化校园网络，保障线上教学、学籍管理、家校沟通等基本信息化应用畅通。校舍与空间利用：根据在校生减少的实际情况，对部分闲置的教室、宿舍进行集中管理或暂时封存，节约能源和管理成本。将腾出的部分空间改造为教师研讨室、学生心理咨询室、社团活动室等，提升空间育人功能。</w:t>
      </w:r>
    </w:p>
    <w:p w14:paraId="2291FE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1" w:firstLineChars="200"/>
        <w:jc w:val="left"/>
        <w:textAlignment w:val="auto"/>
        <w:outlineLvl w:val="1"/>
        <w:rPr>
          <w:rFonts w:hint="eastAsia" w:ascii="楷体_GB2312" w:hAnsi="楷体_GB2312" w:eastAsia="楷体_GB2312" w:cs="楷体_GB2312"/>
          <w:b/>
          <w:bCs/>
          <w:color w:val="000000"/>
          <w:sz w:val="32"/>
          <w:szCs w:val="32"/>
          <w:highlight w:val="none"/>
          <w:lang w:val="en-US" w:eastAsia="zh-CN"/>
        </w:rPr>
      </w:pPr>
      <w:bookmarkStart w:id="17" w:name="_Toc10657"/>
      <w:r>
        <w:rPr>
          <w:rFonts w:hint="eastAsia" w:ascii="楷体_GB2312" w:hAnsi="楷体_GB2312" w:eastAsia="楷体_GB2312" w:cs="楷体_GB2312"/>
          <w:b/>
          <w:bCs/>
          <w:color w:val="000000"/>
          <w:sz w:val="32"/>
          <w:szCs w:val="32"/>
          <w:highlight w:val="none"/>
          <w:lang w:val="en-US" w:eastAsia="zh-CN"/>
        </w:rPr>
        <w:t>7.6 校园安全稳定与风险防控保障</w:t>
      </w:r>
      <w:bookmarkEnd w:id="17"/>
    </w:p>
    <w:p w14:paraId="6F065F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highlight w:val="none"/>
          <w:lang w:val="en-US" w:eastAsia="zh-CN"/>
        </w:rPr>
      </w:pPr>
      <w:r>
        <w:rPr>
          <w:rFonts w:hint="eastAsia" w:eastAsia="仿宋_GB2312"/>
          <w:color w:val="000000"/>
          <w:sz w:val="32"/>
          <w:szCs w:val="32"/>
          <w:highlight w:val="none"/>
          <w:lang w:val="en-US" w:eastAsia="zh-CN"/>
        </w:rPr>
        <w:t>安全稳定是学校一切工作的底线，学校将安全维稳工作提升到前所未有的高度，构建了全员、全过程、全方位的风险防控体系。定期召开行政会议、教职工大会，研究部署工作。强化安全“红线”意识，定期开展安全隐患排查。针对各类反映的问题，学校优化了相关流程，公开了监督电话，增强了办事效率和服务意识。</w:t>
      </w:r>
    </w:p>
    <w:p w14:paraId="5CDA7C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000000"/>
          <w:sz w:val="32"/>
          <w:szCs w:val="32"/>
          <w:highlight w:val="none"/>
          <w:lang w:val="en-US" w:eastAsia="zh-CN"/>
        </w:rPr>
      </w:pPr>
      <w:bookmarkStart w:id="18" w:name="_Toc29106"/>
      <w:r>
        <w:rPr>
          <w:rFonts w:hint="eastAsia" w:ascii="仿宋_GB2312" w:hAnsi="仿宋_GB2312" w:eastAsia="仿宋_GB2312" w:cs="仿宋_GB2312"/>
          <w:b/>
          <w:bCs/>
          <w:color w:val="000000"/>
          <w:sz w:val="32"/>
          <w:szCs w:val="32"/>
          <w:highlight w:val="none"/>
          <w:lang w:val="en-US" w:eastAsia="zh-CN"/>
        </w:rPr>
        <w:t>7.6.1 健全常态化安全管理机制</w:t>
      </w:r>
      <w:bookmarkEnd w:id="18"/>
    </w:p>
    <w:p w14:paraId="0BE6A1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责任体系：严格落实“党政同责、‘一岗双责’、齐抓共管、失职追责”的安全生产责任制，层层签订安全责任书。</w:t>
      </w:r>
    </w:p>
    <w:p w14:paraId="63DF11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排查整治：坚持每月一次全校范围的安全大检查，覆盖消防、食品、交通、校舍、实训、网络等所有领域，对发现的问题建立台账，限期整改，闭环管理。</w:t>
      </w:r>
    </w:p>
    <w:p w14:paraId="4224AF9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安全教育：通过安全课、主题班会、应急疏散演练（每学期至少一次）、宣传栏、微信公众号等多种形式，对师生进行常态化安全教育，重点加强防火、防盗、防诈骗、防欺凌、交通安全和实习安全教育，提升师生安全意识和自救互救能力。</w:t>
      </w:r>
    </w:p>
    <w:p w14:paraId="690800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000000"/>
          <w:sz w:val="32"/>
          <w:szCs w:val="32"/>
          <w:highlight w:val="none"/>
          <w:lang w:val="en-US" w:eastAsia="zh-CN"/>
        </w:rPr>
      </w:pPr>
      <w:bookmarkStart w:id="19" w:name="_Toc27311"/>
      <w:r>
        <w:rPr>
          <w:rFonts w:hint="eastAsia" w:ascii="仿宋_GB2312" w:hAnsi="仿宋_GB2312" w:eastAsia="仿宋_GB2312" w:cs="仿宋_GB2312"/>
          <w:b/>
          <w:bCs/>
          <w:color w:val="000000"/>
          <w:sz w:val="32"/>
          <w:szCs w:val="32"/>
          <w:highlight w:val="none"/>
          <w:lang w:val="en-US" w:eastAsia="zh-CN"/>
        </w:rPr>
        <w:t>7.6.2 聚焦重点领域与关键环节风险防控</w:t>
      </w:r>
      <w:bookmarkEnd w:id="19"/>
    </w:p>
    <w:p w14:paraId="5A7D82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学生心理安全：针对学校调整可能给学生带来的心理冲击，学校心理健康教育工作全面升级。心理咨询室开放时间延长，心理普查覆盖全体学生，对筛查出的重点关注对象实行“一生一策”跟踪辅导。班主任和任课教师加强观察，及时上报异常情况。</w:t>
      </w:r>
    </w:p>
    <w:p w14:paraId="204607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实训安全：完善安全管理协议，明确学校教师安全责任。为所有学生购买足额校责险。</w:t>
      </w:r>
    </w:p>
    <w:p w14:paraId="5B7406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校园舆情与矛盾化解：建立舆情监控与快速反应机制，及时发现和处置苗头性问题。畅通校长信箱、家委会等沟通渠道，对师生家长的合理诉求第一时间回应、依法依规解决，将矛盾化解在萌芽状态，维护校园和谐稳定。</w:t>
      </w:r>
    </w:p>
    <w:p w14:paraId="05DF4E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jc w:val="left"/>
        <w:textAlignment w:val="auto"/>
        <w:outlineLvl w:val="2"/>
        <w:rPr>
          <w:rFonts w:hint="eastAsia" w:ascii="仿宋_GB2312" w:hAnsi="仿宋_GB2312" w:eastAsia="仿宋_GB2312" w:cs="仿宋_GB2312"/>
          <w:b/>
          <w:bCs/>
          <w:color w:val="000000"/>
          <w:sz w:val="32"/>
          <w:szCs w:val="32"/>
          <w:highlight w:val="none"/>
          <w:lang w:val="en-US" w:eastAsia="zh-CN"/>
        </w:rPr>
      </w:pPr>
      <w:bookmarkStart w:id="20" w:name="_Toc17495"/>
      <w:r>
        <w:rPr>
          <w:rFonts w:hint="eastAsia" w:ascii="仿宋_GB2312" w:hAnsi="仿宋_GB2312" w:eastAsia="仿宋_GB2312" w:cs="仿宋_GB2312"/>
          <w:b/>
          <w:bCs/>
          <w:color w:val="000000"/>
          <w:sz w:val="32"/>
          <w:szCs w:val="32"/>
          <w:highlight w:val="none"/>
          <w:lang w:val="en-US" w:eastAsia="zh-CN"/>
        </w:rPr>
        <w:t>7.6.3 制定并演练综合性应急预案。</w:t>
      </w:r>
      <w:bookmarkEnd w:id="20"/>
    </w:p>
    <w:p w14:paraId="3C9F49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学校全面修订了包括火灾、地震、公共卫生事件、群体性事件、重大舆情事件等在内的各类突发事件应急预案。本学年组织了两次综合性应急演练，检验预案的可行性和各部门的协同处置能力。确保在发生紧急情况时，能够迅速启动预案，有效指挥，科学处置，最大限度保障师生生命财产安全和校园秩序稳定。</w:t>
      </w:r>
    </w:p>
    <w:p w14:paraId="56BFAA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9"/>
        <w:rPr>
          <w:rFonts w:hint="eastAsia" w:eastAsia="仿宋_GB2312"/>
          <w:color w:val="000000"/>
          <w:sz w:val="32"/>
          <w:szCs w:val="32"/>
          <w:highlight w:val="none"/>
          <w:lang w:val="en-US" w:eastAsia="zh-CN"/>
        </w:rPr>
      </w:pPr>
      <w:r>
        <w:rPr>
          <w:rFonts w:hint="eastAsia" w:eastAsia="仿宋_GB2312"/>
          <w:color w:val="000000"/>
          <w:sz w:val="32"/>
          <w:szCs w:val="32"/>
          <w:highlight w:val="none"/>
          <w:lang w:val="en-US" w:eastAsia="zh-CN"/>
        </w:rPr>
        <w:t>2024-2025学年，学校的发展保障工作是在巨大压力和复杂形势下展开的一场系统性攻坚。通过强化党的全面领导、优化内部治理、实施精准财务管控、筑牢安全防线等一系列扎实举措，学校成功构建了一个富有韧性的发展保障体系。这一体系有力支撑了教育教学核心任务的完成，维护了校园的基本稳定与和谐，保障了学生的合法权益与健康成长，为学校实现战略目标奠定了最坚实的基础。未来，学校将继续以高度的责任感和使命感，不断完善和巩固这一保障体系。</w:t>
      </w:r>
    </w:p>
    <w:p w14:paraId="22CF791D">
      <w:pPr>
        <w:keepNext w:val="0"/>
        <w:keepLines w:val="0"/>
        <w:pageBreakBefore w:val="0"/>
        <w:numPr>
          <w:ilvl w:val="0"/>
          <w:numId w:val="2"/>
        </w:numPr>
        <w:kinsoku/>
        <w:wordWrap/>
        <w:overflowPunct/>
        <w:topLinePunct w:val="0"/>
        <w:autoSpaceDE/>
        <w:autoSpaceDN/>
        <w:bidi w:val="0"/>
        <w:adjustRightInd/>
        <w:snapToGrid/>
        <w:spacing w:line="560" w:lineRule="exact"/>
        <w:ind w:firstLine="321" w:firstLineChars="1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挑战与展望</w:t>
      </w:r>
    </w:p>
    <w:p w14:paraId="0E404A38">
      <w:pPr>
        <w:keepNext w:val="0"/>
        <w:keepLines w:val="0"/>
        <w:pageBreakBefore w:val="0"/>
        <w:numPr>
          <w:ilvl w:val="0"/>
          <w:numId w:val="0"/>
        </w:numPr>
        <w:kinsoku/>
        <w:wordWrap/>
        <w:overflowPunct/>
        <w:topLinePunct w:val="0"/>
        <w:autoSpaceDE/>
        <w:autoSpaceDN/>
        <w:bidi w:val="0"/>
        <w:adjustRightInd/>
        <w:snapToGrid/>
        <w:spacing w:line="560" w:lineRule="exact"/>
        <w:ind w:firstLine="960" w:firstLineChars="300"/>
        <w:rPr>
          <w:rFonts w:hint="eastAsia" w:ascii="仿宋" w:hAnsi="仿宋" w:eastAsia="仿宋" w:cs="仿宋"/>
          <w:sz w:val="32"/>
          <w:szCs w:val="32"/>
          <w:highlight w:val="none"/>
        </w:rPr>
      </w:pPr>
      <w:r>
        <w:rPr>
          <w:rFonts w:hint="eastAsia" w:ascii="仿宋" w:hAnsi="仿宋" w:eastAsia="仿宋" w:cs="仿宋"/>
          <w:sz w:val="32"/>
          <w:szCs w:val="32"/>
          <w:highlight w:val="none"/>
        </w:rPr>
        <w:t>2024-2025学年，</w:t>
      </w:r>
      <w:r>
        <w:rPr>
          <w:rFonts w:hint="eastAsia" w:ascii="仿宋" w:hAnsi="仿宋" w:eastAsia="仿宋" w:cs="仿宋"/>
          <w:sz w:val="32"/>
          <w:szCs w:val="32"/>
          <w:highlight w:val="none"/>
          <w:lang w:val="en-US" w:eastAsia="zh-CN"/>
        </w:rPr>
        <w:t>我校</w:t>
      </w:r>
      <w:r>
        <w:rPr>
          <w:rFonts w:hint="eastAsia" w:ascii="仿宋" w:hAnsi="仿宋" w:eastAsia="仿宋" w:cs="仿宋"/>
          <w:sz w:val="32"/>
          <w:szCs w:val="32"/>
          <w:highlight w:val="none"/>
        </w:rPr>
        <w:t>在取得办学成效的同时，</w:t>
      </w:r>
      <w:r>
        <w:rPr>
          <w:rFonts w:hint="eastAsia" w:ascii="仿宋" w:hAnsi="仿宋" w:eastAsia="仿宋" w:cs="仿宋"/>
          <w:sz w:val="32"/>
          <w:szCs w:val="32"/>
          <w:highlight w:val="none"/>
          <w:lang w:val="en-US" w:eastAsia="zh-CN"/>
        </w:rPr>
        <w:t>也</w:t>
      </w:r>
      <w:r>
        <w:rPr>
          <w:rFonts w:hint="eastAsia" w:ascii="仿宋" w:hAnsi="仿宋" w:eastAsia="仿宋" w:cs="仿宋"/>
          <w:sz w:val="32"/>
          <w:szCs w:val="32"/>
          <w:highlight w:val="none"/>
        </w:rPr>
        <w:t>清醒认识到面临</w:t>
      </w:r>
      <w:r>
        <w:rPr>
          <w:rFonts w:hint="eastAsia" w:ascii="仿宋" w:hAnsi="仿宋" w:eastAsia="仿宋" w:cs="仿宋"/>
          <w:sz w:val="32"/>
          <w:szCs w:val="32"/>
          <w:highlight w:val="none"/>
          <w:lang w:val="en-US" w:eastAsia="zh-CN"/>
        </w:rPr>
        <w:t>的</w:t>
      </w:r>
      <w:r>
        <w:rPr>
          <w:rFonts w:hint="eastAsia" w:ascii="仿宋" w:hAnsi="仿宋" w:eastAsia="仿宋" w:cs="仿宋"/>
          <w:sz w:val="32"/>
          <w:szCs w:val="32"/>
          <w:highlight w:val="none"/>
        </w:rPr>
        <w:t>三大挑战：产教融合深度不足，企业深度参与的长效机制有待健全；师资队伍结构性矛盾，对接产业前沿的“专家型”双师比例偏低；数字化转型效能不彰，技术与教育教学的融合需向纵深突破。</w:t>
      </w:r>
    </w:p>
    <w:p w14:paraId="4EC4E726">
      <w:pPr>
        <w:keepNext w:val="0"/>
        <w:keepLines w:val="0"/>
        <w:pageBreakBefore w:val="0"/>
        <w:numPr>
          <w:ilvl w:val="0"/>
          <w:numId w:val="0"/>
        </w:numPr>
        <w:kinsoku/>
        <w:wordWrap/>
        <w:overflowPunct/>
        <w:topLinePunct w:val="0"/>
        <w:autoSpaceDE/>
        <w:autoSpaceDN/>
        <w:bidi w:val="0"/>
        <w:adjustRightInd/>
        <w:snapToGrid/>
        <w:spacing w:line="560" w:lineRule="exact"/>
        <w:ind w:firstLine="960" w:firstLineChars="300"/>
        <w:rPr>
          <w:rFonts w:hint="eastAsia" w:ascii="仿宋" w:hAnsi="仿宋" w:eastAsia="仿宋" w:cs="仿宋"/>
          <w:sz w:val="32"/>
          <w:szCs w:val="32"/>
          <w:highlight w:val="none"/>
        </w:rPr>
      </w:pPr>
      <w:r>
        <w:rPr>
          <w:rFonts w:hint="eastAsia" w:ascii="仿宋" w:hAnsi="仿宋" w:eastAsia="仿宋" w:cs="仿宋"/>
          <w:sz w:val="32"/>
          <w:szCs w:val="32"/>
          <w:highlight w:val="none"/>
        </w:rPr>
        <w:t>展望未来，学校将实施三大核心战略：深化“融合共生”战略，创新体制机制，打造校企发展共同体；推进“人才强校”战略，构建更具竞争力的“双师型”教师引育体系；加快“数字赋能”战略，以智慧教育驱动系统性变革。</w:t>
      </w:r>
    </w:p>
    <w:p w14:paraId="6A48059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.1面临挑战</w:t>
      </w:r>
    </w:p>
    <w:p w14:paraId="66A1F9F7">
      <w:pPr>
        <w:keepNext w:val="0"/>
        <w:keepLines w:val="0"/>
        <w:pageBreakBefore w:val="0"/>
        <w:kinsoku/>
        <w:wordWrap/>
        <w:overflowPunct/>
        <w:topLinePunct w:val="0"/>
        <w:autoSpaceDE/>
        <w:autoSpaceDN/>
        <w:bidi w:val="0"/>
        <w:adjustRightInd/>
        <w:snapToGrid/>
        <w:spacing w:line="560" w:lineRule="exact"/>
        <w:ind w:firstLine="960" w:firstLineChars="300"/>
        <w:rPr>
          <w:rFonts w:hint="eastAsia" w:ascii="仿宋" w:hAnsi="仿宋" w:eastAsia="仿宋" w:cs="仿宋"/>
          <w:sz w:val="32"/>
          <w:szCs w:val="32"/>
          <w:highlight w:val="none"/>
        </w:rPr>
      </w:pPr>
      <w:r>
        <w:rPr>
          <w:rFonts w:hint="eastAsia" w:ascii="仿宋" w:hAnsi="仿宋" w:eastAsia="仿宋" w:cs="仿宋"/>
          <w:sz w:val="32"/>
          <w:szCs w:val="32"/>
          <w:highlight w:val="none"/>
        </w:rPr>
        <w:t>挑战1：数字化转型的深度与效能有待突破</w:t>
      </w:r>
    </w:p>
    <w:p w14:paraId="0A5FE6D5">
      <w:pPr>
        <w:keepNext w:val="0"/>
        <w:keepLines w:val="0"/>
        <w:pageBreakBefore w:val="0"/>
        <w:kinsoku/>
        <w:wordWrap/>
        <w:overflowPunct/>
        <w:topLinePunct w:val="0"/>
        <w:autoSpaceDE/>
        <w:autoSpaceDN/>
        <w:bidi w:val="0"/>
        <w:adjustRightInd/>
        <w:snapToGrid/>
        <w:spacing w:line="560" w:lineRule="exact"/>
        <w:ind w:firstLine="960" w:firstLineChars="300"/>
        <w:rPr>
          <w:rFonts w:hint="eastAsia" w:ascii="仿宋" w:hAnsi="仿宋" w:eastAsia="仿宋" w:cs="仿宋"/>
          <w:sz w:val="32"/>
          <w:szCs w:val="32"/>
          <w:highlight w:val="none"/>
        </w:rPr>
      </w:pPr>
      <w:r>
        <w:rPr>
          <w:rFonts w:hint="eastAsia" w:ascii="仿宋" w:hAnsi="仿宋" w:eastAsia="仿宋" w:cs="仿宋"/>
          <w:sz w:val="32"/>
          <w:szCs w:val="32"/>
          <w:highlight w:val="none"/>
        </w:rPr>
        <w:t>当前，学校在数字化基础设施和平台建设上</w:t>
      </w:r>
      <w:r>
        <w:rPr>
          <w:rFonts w:hint="eastAsia" w:ascii="仿宋" w:hAnsi="仿宋" w:eastAsia="仿宋" w:cs="仿宋"/>
          <w:sz w:val="32"/>
          <w:szCs w:val="32"/>
          <w:highlight w:val="none"/>
          <w:lang w:val="en-US" w:eastAsia="zh-CN"/>
        </w:rPr>
        <w:t>有待提升</w:t>
      </w:r>
      <w:r>
        <w:rPr>
          <w:rFonts w:hint="eastAsia" w:ascii="仿宋" w:hAnsi="仿宋" w:eastAsia="仿宋" w:cs="仿宋"/>
          <w:sz w:val="32"/>
          <w:szCs w:val="32"/>
          <w:highlight w:val="none"/>
        </w:rPr>
        <w:t>，</w:t>
      </w:r>
    </w:p>
    <w:p w14:paraId="61AB7AF4">
      <w:pPr>
        <w:keepNext w:val="0"/>
        <w:keepLines w:val="0"/>
        <w:pageBreakBefore w:val="0"/>
        <w:kinsoku/>
        <w:wordWrap/>
        <w:overflowPunct/>
        <w:topLinePunct w:val="0"/>
        <w:autoSpaceDE/>
        <w:autoSpaceDN/>
        <w:bidi w:val="0"/>
        <w:adjustRightInd/>
        <w:snapToGrid/>
        <w:spacing w:line="560" w:lineRule="exact"/>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部分教师对数字化工具的应用仍停留在课件展示、资源浏览层面，未能深度融合大数据、人工智能等技术开展学情诊断、个性化学习路径规划和自适应教学，技术赋能“因材施教”的潜力尚未充分释放。教学、管理、等各</w:t>
      </w:r>
      <w:r>
        <w:rPr>
          <w:rFonts w:hint="eastAsia" w:ascii="仿宋" w:hAnsi="仿宋" w:eastAsia="仿宋" w:cs="仿宋"/>
          <w:sz w:val="32"/>
          <w:szCs w:val="32"/>
          <w:highlight w:val="none"/>
          <w:lang w:val="en-US" w:eastAsia="zh-CN"/>
        </w:rPr>
        <w:t>部门</w:t>
      </w:r>
      <w:r>
        <w:rPr>
          <w:rFonts w:hint="eastAsia" w:ascii="仿宋" w:hAnsi="仿宋" w:eastAsia="仿宋" w:cs="仿宋"/>
          <w:sz w:val="32"/>
          <w:szCs w:val="32"/>
          <w:highlight w:val="none"/>
        </w:rPr>
        <w:t>系统数据标准不一、接口不畅，形成数据孤岛，制约了对办学全景的精准把握和基于数据的科学决策。数据安全意识与治理能力需同步提升。师生数字素养存在分层，部分教师数字化教学创新能力不足，部分学生信息获取与甄别能力较弱。系统化、常态化的数字素养培育体系亟待完善。</w:t>
      </w:r>
    </w:p>
    <w:p w14:paraId="44E2BDAE">
      <w:pPr>
        <w:keepNext w:val="0"/>
        <w:keepLines w:val="0"/>
        <w:pageBreakBefore w:val="0"/>
        <w:kinsoku/>
        <w:wordWrap/>
        <w:overflowPunct/>
        <w:topLinePunct w:val="0"/>
        <w:autoSpaceDE/>
        <w:autoSpaceDN/>
        <w:bidi w:val="0"/>
        <w:adjustRightInd/>
        <w:snapToGrid/>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应对措施：实施“数智课堂”攻坚计划：未来三年，与科技企业合作，深度研发融入AI助教、学习分析引擎的智慧课程模块，打造数字化转型样板。建设校级“教育数据中台”</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打破数据壁垒，统一数据标准，构建覆盖“人、事、物”的全域数据资源池，为精准管理和个性化服务提供支撑。</w:t>
      </w:r>
    </w:p>
    <w:p w14:paraId="082F5D80">
      <w:pPr>
        <w:keepNext w:val="0"/>
        <w:keepLines w:val="0"/>
        <w:pageBreakBefore w:val="0"/>
        <w:kinsoku/>
        <w:wordWrap/>
        <w:overflowPunct/>
        <w:topLinePunct w:val="0"/>
        <w:autoSpaceDE/>
        <w:autoSpaceDN/>
        <w:bidi w:val="0"/>
        <w:adjustRightInd/>
        <w:snapToGrid/>
        <w:spacing w:line="560" w:lineRule="exact"/>
        <w:ind w:firstLine="640" w:firstLineChars="200"/>
        <w:outlineLvl w:val="2"/>
        <w:rPr>
          <w:rFonts w:hint="eastAsia" w:ascii="仿宋" w:hAnsi="仿宋" w:eastAsia="仿宋" w:cs="仿宋"/>
          <w:sz w:val="32"/>
          <w:szCs w:val="32"/>
          <w:highlight w:val="none"/>
        </w:rPr>
      </w:pPr>
      <w:r>
        <w:rPr>
          <w:rFonts w:hint="eastAsia" w:ascii="仿宋" w:hAnsi="仿宋" w:eastAsia="仿宋" w:cs="仿宋"/>
          <w:sz w:val="32"/>
          <w:szCs w:val="32"/>
          <w:highlight w:val="none"/>
        </w:rPr>
        <w:t>启动“师生数字素养双提升工程”：将数字素养纳入教师考核与学生评价体系，开展分层分类培训，举办数字化教学创新大赛和学生数字作品展，营造“懂数据、用数据、信数据”的校园文化。</w:t>
      </w:r>
    </w:p>
    <w:p w14:paraId="1CFA9729">
      <w:pPr>
        <w:keepNext w:val="0"/>
        <w:keepLines w:val="0"/>
        <w:pageBreakBefore w:val="0"/>
        <w:kinsoku/>
        <w:wordWrap/>
        <w:overflowPunct/>
        <w:topLinePunct w:val="0"/>
        <w:autoSpaceDE/>
        <w:autoSpaceDN/>
        <w:bidi w:val="0"/>
        <w:adjustRightInd/>
        <w:snapToGrid/>
        <w:spacing w:line="560" w:lineRule="exact"/>
        <w:ind w:firstLine="643" w:firstLineChars="200"/>
        <w:outlineLvl w:val="2"/>
        <w:rPr>
          <w:rFonts w:hint="eastAsia" w:eastAsia="仿宋_GB2312"/>
          <w:color w:val="000000"/>
          <w:sz w:val="32"/>
          <w:szCs w:val="32"/>
          <w:highlight w:val="none"/>
        </w:rPr>
      </w:pPr>
      <w:r>
        <w:rPr>
          <w:rFonts w:hint="eastAsia" w:ascii="仿宋_GB2312" w:hAnsi="仿宋_GB2312" w:eastAsia="仿宋_GB2312" w:cs="仿宋_GB2312"/>
          <w:b/>
          <w:bCs/>
          <w:color w:val="000000"/>
          <w:sz w:val="32"/>
          <w:szCs w:val="32"/>
          <w:highlight w:val="none"/>
        </w:rPr>
        <w:t>挑战</w:t>
      </w:r>
      <w:r>
        <w:rPr>
          <w:rFonts w:hint="eastAsia" w:ascii="仿宋_GB2312" w:hAnsi="仿宋_GB2312" w:eastAsia="仿宋_GB2312" w:cs="仿宋_GB2312"/>
          <w:b/>
          <w:bCs/>
          <w:color w:val="000000"/>
          <w:sz w:val="32"/>
          <w:szCs w:val="32"/>
          <w:highlight w:val="none"/>
          <w:lang w:val="en-US" w:eastAsia="zh-CN"/>
        </w:rPr>
        <w:t>2</w:t>
      </w:r>
      <w:r>
        <w:rPr>
          <w:rFonts w:hint="eastAsia" w:ascii="仿宋_GB2312" w:hAnsi="仿宋_GB2312" w:eastAsia="仿宋_GB2312" w:cs="仿宋_GB2312"/>
          <w:b/>
          <w:bCs/>
          <w:color w:val="000000"/>
          <w:sz w:val="32"/>
          <w:szCs w:val="32"/>
          <w:highlight w:val="none"/>
          <w:lang w:eastAsia="zh-CN"/>
        </w:rPr>
        <w:t>：</w:t>
      </w:r>
      <w:r>
        <w:rPr>
          <w:rFonts w:hint="eastAsia" w:eastAsia="仿宋_GB2312"/>
          <w:color w:val="000000"/>
          <w:sz w:val="32"/>
          <w:szCs w:val="32"/>
          <w:highlight w:val="none"/>
        </w:rPr>
        <w:t>师生队伍稳定与持续发展的双重诉求</w:t>
      </w:r>
    </w:p>
    <w:p w14:paraId="1E9948B5">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学校发展的阶段性调整，不可避免地引发师生对未来的关切。部分学生及家长可能对学校前景产生疑虑，担心教学管理松懈、师资流失影响学业。更为关键的是，教职工队伍的稳定与发展面临考验。优秀的教师是教育质量的最终保障。如何留住核心教学与管理骨干，避免人才断层，同时激励他们在过渡期继续保持高昂的职业热情和专业进取心，是关乎学校能否</w:t>
      </w:r>
      <w:r>
        <w:rPr>
          <w:rFonts w:hint="eastAsia" w:eastAsia="仿宋_GB2312"/>
          <w:color w:val="000000"/>
          <w:sz w:val="32"/>
          <w:szCs w:val="32"/>
          <w:highlight w:val="none"/>
          <w:lang w:val="en-US" w:eastAsia="zh-CN"/>
        </w:rPr>
        <w:t>发展</w:t>
      </w:r>
      <w:r>
        <w:rPr>
          <w:rFonts w:hint="eastAsia" w:eastAsia="仿宋_GB2312"/>
          <w:color w:val="000000"/>
          <w:sz w:val="32"/>
          <w:szCs w:val="32"/>
          <w:highlight w:val="none"/>
        </w:rPr>
        <w:t>的决定性因素。教师个人的专业发展需求（如职称评审、资格晋升）与学校阶段性工作重心之间需要找到新的平衡点。</w:t>
      </w:r>
    </w:p>
    <w:p w14:paraId="474CD62A">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应对措施：透明的沟通与信心构建：学校管理层通过班会、家</w:t>
      </w:r>
      <w:r>
        <w:rPr>
          <w:rFonts w:hint="eastAsia" w:eastAsia="仿宋_GB2312"/>
          <w:color w:val="000000"/>
          <w:sz w:val="32"/>
          <w:szCs w:val="32"/>
          <w:highlight w:val="none"/>
          <w:lang w:val="en-US" w:eastAsia="zh-CN"/>
        </w:rPr>
        <w:t>委</w:t>
      </w:r>
      <w:r>
        <w:rPr>
          <w:rFonts w:hint="eastAsia" w:eastAsia="仿宋_GB2312"/>
          <w:color w:val="000000"/>
          <w:sz w:val="32"/>
          <w:szCs w:val="32"/>
          <w:highlight w:val="none"/>
        </w:rPr>
        <w:t>会、教职工大会等多种渠道，以坦诚、负责的态度，向全体师生及家长清晰说明学校现状、应对策略及未来两年确保学生培养质量的详细计划，消除不必要的猜疑，凝聚共识，构建共渡难关的信心。</w:t>
      </w:r>
    </w:p>
    <w:p w14:paraId="5310AF24">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实施“教职工安心工程”：在法律和政策框架内，尽最大努力保障教职工的合法权益与待遇稳定。同时，学校管理层积极谋划，为骨干教师探索在过渡期及之后的职业发展衔接路径，体现组织关怀。</w:t>
      </w:r>
    </w:p>
    <w:p w14:paraId="4DA425A6">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强化“发展型”激励导向：学校明确提出，将教职工的专业成长视为宝贵的财富和未来的竞争力。全力支持教师进行职称评审工作，在材料准备、时间协调上提供便利；鼓励并资助教师考取更高等级的职业资格证书，特别是鼓励专业教师向“双师型”教师标准迈进。将这一时期视为教师沉淀积累、提升内涵的宝贵机遇期，将个人发展与高质量完成收官教学任务紧密结合，实现个人与学校的“双向奔赴”。</w:t>
      </w:r>
    </w:p>
    <w:p w14:paraId="492BF740">
      <w:pPr>
        <w:keepNext w:val="0"/>
        <w:keepLines w:val="0"/>
        <w:pageBreakBefore w:val="0"/>
        <w:kinsoku/>
        <w:wordWrap/>
        <w:overflowPunct/>
        <w:topLinePunct w:val="0"/>
        <w:autoSpaceDE/>
        <w:autoSpaceDN/>
        <w:bidi w:val="0"/>
        <w:adjustRightInd/>
        <w:snapToGrid/>
        <w:spacing w:line="560" w:lineRule="exact"/>
        <w:ind w:firstLine="643" w:firstLineChars="200"/>
        <w:outlineLvl w:val="2"/>
        <w:rPr>
          <w:rFonts w:hint="eastAsia" w:eastAsia="仿宋_GB2312"/>
          <w:color w:val="000000"/>
          <w:sz w:val="32"/>
          <w:szCs w:val="32"/>
          <w:highlight w:val="none"/>
        </w:rPr>
      </w:pPr>
      <w:bookmarkStart w:id="21" w:name="_Toc8443"/>
      <w:r>
        <w:rPr>
          <w:rFonts w:hint="eastAsia" w:ascii="仿宋_GB2312" w:hAnsi="仿宋_GB2312" w:eastAsia="仿宋_GB2312" w:cs="仿宋_GB2312"/>
          <w:b/>
          <w:bCs/>
          <w:color w:val="000000"/>
          <w:sz w:val="32"/>
          <w:szCs w:val="32"/>
          <w:highlight w:val="none"/>
        </w:rPr>
        <w:t>挑战</w:t>
      </w:r>
      <w:bookmarkEnd w:id="21"/>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lang w:eastAsia="zh-CN"/>
        </w:rPr>
        <w:t>：</w:t>
      </w:r>
      <w:r>
        <w:rPr>
          <w:rFonts w:hint="eastAsia" w:eastAsia="仿宋_GB2312"/>
          <w:color w:val="000000"/>
          <w:sz w:val="32"/>
          <w:szCs w:val="32"/>
          <w:highlight w:val="none"/>
        </w:rPr>
        <w:t>特色专业优势维持与教育内涵深化的迫切要求</w:t>
      </w:r>
    </w:p>
    <w:p w14:paraId="4037BB82">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“运动训练”与“汽车运用与维修”作为学校的特色与骨干专业，其声誉和优势是在长期办学中积累而成的宝贵资产。如何避免特色专业因规模</w:t>
      </w:r>
      <w:r>
        <w:rPr>
          <w:rFonts w:hint="eastAsia" w:eastAsia="仿宋_GB2312"/>
          <w:color w:val="000000"/>
          <w:sz w:val="32"/>
          <w:szCs w:val="32"/>
          <w:highlight w:val="none"/>
          <w:lang w:val="en-US" w:eastAsia="zh-CN"/>
        </w:rPr>
        <w:t>变化</w:t>
      </w:r>
      <w:r>
        <w:rPr>
          <w:rFonts w:hint="eastAsia" w:eastAsia="仿宋_GB2312"/>
          <w:color w:val="000000"/>
          <w:sz w:val="32"/>
          <w:szCs w:val="32"/>
          <w:highlight w:val="none"/>
        </w:rPr>
        <w:t>而出现教学质量滑坡、品牌影响力衰减</w:t>
      </w:r>
      <w:r>
        <w:rPr>
          <w:rFonts w:hint="eastAsia" w:eastAsia="仿宋_GB2312"/>
          <w:color w:val="000000"/>
          <w:sz w:val="32"/>
          <w:szCs w:val="32"/>
          <w:highlight w:val="none"/>
          <w:lang w:val="en-US" w:eastAsia="zh-CN"/>
        </w:rPr>
        <w:t>等问题，</w:t>
      </w:r>
      <w:r>
        <w:rPr>
          <w:rFonts w:hint="eastAsia" w:eastAsia="仿宋_GB2312"/>
          <w:color w:val="000000"/>
          <w:sz w:val="32"/>
          <w:szCs w:val="32"/>
          <w:highlight w:val="none"/>
        </w:rPr>
        <w:t>同时，学生总数减少，客观上为实施更精细化、个性化的教学提供了可能，但如何将这种可能转化为教育内涵的真正深化，对课程改革、教学方法、师生互动提出了更高而非更低的要求。如何在资源受限的条件下，继续保持与行业企业的有效联系，确保实习实训环节不缩水、不变味，也是一大考验。</w:t>
      </w:r>
    </w:p>
    <w:p w14:paraId="7D27B2CE">
      <w:pPr>
        <w:keepNext w:val="0"/>
        <w:keepLines w:val="0"/>
        <w:pageBreakBefore w:val="0"/>
        <w:kinsoku/>
        <w:wordWrap/>
        <w:overflowPunct/>
        <w:topLinePunct w:val="0"/>
        <w:autoSpaceDE/>
        <w:autoSpaceDN/>
        <w:bidi w:val="0"/>
        <w:adjustRightInd/>
        <w:snapToGrid/>
        <w:spacing w:line="560" w:lineRule="exact"/>
        <w:ind w:firstLine="640" w:firstLineChars="200"/>
        <w:outlineLvl w:val="9"/>
        <w:rPr>
          <w:rFonts w:hint="eastAsia" w:eastAsia="仿宋_GB2312"/>
          <w:color w:val="000000"/>
          <w:sz w:val="32"/>
          <w:szCs w:val="32"/>
          <w:highlight w:val="none"/>
        </w:rPr>
      </w:pPr>
      <w:r>
        <w:rPr>
          <w:rFonts w:hint="eastAsia" w:eastAsia="仿宋_GB2312"/>
          <w:color w:val="000000"/>
          <w:sz w:val="32"/>
          <w:szCs w:val="32"/>
          <w:highlight w:val="none"/>
        </w:rPr>
        <w:t>应对措施：实施“特色专业捍卫计划”：集中优质师资与资源，确保在校生中相关专业学生的培养标准不降反升。为运动训练专业有意向体育高考或参军入伍的学生组建强化辅导小组；深化与</w:t>
      </w:r>
      <w:r>
        <w:rPr>
          <w:rFonts w:hint="eastAsia" w:eastAsia="仿宋_GB2312"/>
          <w:color w:val="000000"/>
          <w:sz w:val="32"/>
          <w:szCs w:val="32"/>
          <w:highlight w:val="none"/>
          <w:lang w:val="en-US" w:eastAsia="zh-CN"/>
        </w:rPr>
        <w:t>企业</w:t>
      </w:r>
      <w:r>
        <w:rPr>
          <w:rFonts w:hint="eastAsia" w:eastAsia="仿宋_GB2312"/>
          <w:color w:val="000000"/>
          <w:sz w:val="32"/>
          <w:szCs w:val="32"/>
          <w:highlight w:val="none"/>
        </w:rPr>
        <w:t>合作，即便学生数量减少，仍确保实习岗位的质量与多样性，力求让特色专业的毕业生，成为学校专业品牌最有力的代言人。</w:t>
      </w:r>
    </w:p>
    <w:p w14:paraId="0D3EB1E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eastAsia="仿宋_GB2312"/>
          <w:color w:val="000000"/>
          <w:sz w:val="32"/>
          <w:szCs w:val="32"/>
          <w:highlight w:val="none"/>
        </w:rPr>
      </w:pPr>
      <w:r>
        <w:rPr>
          <w:rFonts w:hint="eastAsia" w:eastAsia="仿宋_GB2312"/>
          <w:color w:val="000000"/>
          <w:sz w:val="32"/>
          <w:szCs w:val="32"/>
          <w:highlight w:val="none"/>
        </w:rPr>
        <w:t>推动“精准化”与“项目式”教学改革：利用小班化教学的契机，鼓励教师深入开展学情分析，为不同类型、不同发展路径的学生设计个性化学习方案。加大项目式教学、案例教学的比重，让学生通过完成真实或模拟的项目，深度学习，整合知识。将教学评价更多聚焦于学生的学习过程、能力增长和成果质量。</w:t>
      </w:r>
    </w:p>
    <w:p w14:paraId="308B7BD3">
      <w:pPr>
        <w:keepNext w:val="0"/>
        <w:keepLines w:val="0"/>
        <w:pageBreakBefore w:val="0"/>
        <w:kinsoku/>
        <w:wordWrap/>
        <w:overflowPunct/>
        <w:topLinePunct w:val="0"/>
        <w:autoSpaceDE/>
        <w:autoSpaceDN/>
        <w:bidi w:val="0"/>
        <w:adjustRightInd/>
        <w:snapToGrid/>
        <w:spacing w:line="560" w:lineRule="exact"/>
        <w:ind w:firstLine="320" w:firstLineChars="100"/>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8</w:t>
      </w:r>
      <w:r>
        <w:rPr>
          <w:rFonts w:hint="eastAsia" w:ascii="仿宋" w:hAnsi="仿宋" w:eastAsia="仿宋" w:cs="仿宋"/>
          <w:sz w:val="32"/>
          <w:szCs w:val="32"/>
          <w:highlight w:val="none"/>
        </w:rPr>
        <w:t>.2未来展望</w:t>
      </w:r>
    </w:p>
    <w:p w14:paraId="48AC16A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学校正在以科学发展观为指导，认真贯彻落实全国职业教育工作会议精神，立足科学发展，坚持改革创新，加紧制定学校中长期发展规划。加强教师队伍的思想政治工作，不断提高教师的思想政治素质和师德修养。把教师职业道德建设放在队伍建设的突出位置。真正做到教书育人，为人师表。加强学校的骨干教师队伍的建设。特别是专业课和实习指导教师队伍的建设，以培养中青年专业学科带头人和骨干教师为重点，形成专兼结合、素质优良、结构合理的学校“双师型”教师队伍。要多渠道解决学校教师的来源。文化课和专业基础课教师要从高等学校的师范类毕业生中招聘；技能实习指导教师在原有教师培训、进修不断提高的基础上，要从高校的师范类毕业生中招聘，还要从企事业单位中聘用有特殊技能的技术人员来校作为专职、兼职教师。提升管理质量。依法治教、以法治校是全面贯彻教育方针，全面实施素质教育的保证。因此，要运用法律手段管理教育，使学校教育工作纳入法治轨道，确保学校教育教学工作顺利进行和健康发展。坚持校长负责制，发挥学校党组织的政治核心作用，建立教代会制度，推行民主管理。积极推进教师聘任制度和中层干部竞聘上岗制度，要淡化“身份”管理，强化岗位管理，逐步实现教师职务由身份管理向岗位管理的转变。加强各处室部门建设，建立各指挥系统，使各项工作的管理在组织上得到保证。建立健全各项规章制度，使各项工作有章可循、照章办事，确保工作目标的实现和工作任务的完成。充分利用网络环境，提高办公水平和管理水平，实现管理现代化。开展争创各级文明单位活动，加强学校精神文明建设，在未来五年内，继续巩固和深化学校文化建设，创建和谐校园文化，使学校的管理模式真正从制度型向文化型、学习型迈进。</w:t>
      </w:r>
    </w:p>
    <w:p w14:paraId="00DC471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以教学工作为中心，全面提高教学质量，重视教学工作、重视教学质量的良好氛围。树立以知识为基础，以职业能力为本位的教学改革指导思想，以培养学生的文化素质和知识创新能力和技术创新能力为重点，“使学生在掌握必要的文化知识的同时，具有熟练的职业技能和适应职业变化的能力”。以人为本，以学生发展为本，尊重学生身心发展特点和教育规律，坚持面向全体学生，为学生的全面发展创造相应的条件。切实提高课堂教学质量，要在课堂教学改革上下功夫。以人为本，以学生为中心，积极实行启发式和讨论式教学，激发学生独立思考和创新的意识，切实提高教学质量；要在扎扎实实打好文化基础的同时，加强通用技能培训，既为学好专业或接受高一级教育打下良好基础，也为终身学习、适应社会发展和工作岗位变动储备发展潜能。</w:t>
      </w:r>
    </w:p>
    <w:p w14:paraId="0C2522F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进一步明确培养目标，精心修订各专业教学计划。根据质量标准，制订并完善各学科教学大纲，改革课程设置和教学内容，加强课程的综合性和实践性。更新教学方法和教学手段，大力推进现代教育技术的应用。改革教学方法和教学手段是实现培养目标的客观要求，必须采用适应社会发展需要，满足生产技术和生产发展需要的新的职业教学方法，满足培养和造就高素质劳动者的要求。加强对现代化技术手段的学习、研究和应用，提高广大师生运用现代信息技术进行教学的能力。强化教师的信息技术全员培训，建设一支熟练掌握现代教育信息技术的骨干教师和管理干部队伍。加强专业建设，实行灵活的招生制度。科学合理地设置专业是实现教学目标的重要基础工作，要根据社会要求，调整和规范现有专业，加强示范专业建设，开发新专业，改造旧专业，淘陈旧专业。采取灵活的招生办法，扩大招生自主权，扩大招生规模，切实加强与高等院校的合作办学工作，不断提高办学层次。</w:t>
      </w:r>
    </w:p>
    <w:p w14:paraId="679F9D8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加强德育工作，全面贯彻落实《中共中央、国务院关于进一步加强和改进未成年人思想道德建设的若干意见》精神，根据职业教育的特点，积极探索新形式下德育工作新内容、新途径、新方法，不断增强德育工作的针对性和实效性。提高认识，适应新形势，研究新情况，解决新问题。思想政治工作是经济工作和其他一切工作的生命线，“德育是素质教育的重要内容，思想政治素质是最重要的素质，爱国主义、集体主义、社会主义思想是素质教育的灵魂的要求”。明确德育是全员德育、全方位德育、全过程德育。形成以德育为核心，以培养学生的创新精神和实践能力为重点，德智体美等有机结合的新型人才的培养模式。造就“有理想、有道德、有文化、有纪律”的、德智体美等全面发展的社会主义建设者和接班人。</w:t>
      </w:r>
    </w:p>
    <w:p w14:paraId="19BE6EA7">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石家庄新铁职业高级中学将以本年度质量报告为新的起点，永葆“闯”的精神、“创”的劲头、“干”的作风，直面挑战，锐意进取，奋力谱写新时代铁路职业高中高质量发展的新篇章，为教育强国建设和区域经济社会发展做出新的更大贡献！</w:t>
      </w:r>
    </w:p>
    <w:p w14:paraId="5E747F1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rPr>
      </w:pPr>
    </w:p>
    <w:p w14:paraId="357892D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highlight w:val="none"/>
          <w:lang w:val="en-US" w:eastAsia="zh-CN"/>
        </w:rPr>
      </w:pPr>
    </w:p>
    <w:p w14:paraId="6AB2A79A">
      <w:pPr>
        <w:keepNext w:val="0"/>
        <w:keepLines w:val="0"/>
        <w:pageBreakBefore w:val="0"/>
        <w:kinsoku/>
        <w:wordWrap/>
        <w:overflowPunct/>
        <w:topLinePunct w:val="0"/>
        <w:autoSpaceDE/>
        <w:autoSpaceDN/>
        <w:bidi w:val="0"/>
        <w:adjustRightInd/>
        <w:snapToGrid/>
        <w:spacing w:line="560" w:lineRule="exact"/>
        <w:ind w:firstLine="640" w:firstLineChars="200"/>
        <w:jc w:val="righ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石家庄新铁职业高级中学</w:t>
      </w:r>
    </w:p>
    <w:p w14:paraId="1B7523D2">
      <w:pPr>
        <w:keepNext w:val="0"/>
        <w:keepLines w:val="0"/>
        <w:pageBreakBefore w:val="0"/>
        <w:kinsoku/>
        <w:wordWrap/>
        <w:overflowPunct/>
        <w:topLinePunct w:val="0"/>
        <w:autoSpaceDE/>
        <w:autoSpaceDN/>
        <w:bidi w:val="0"/>
        <w:adjustRightInd/>
        <w:snapToGrid/>
        <w:spacing w:line="560" w:lineRule="exact"/>
        <w:ind w:firstLine="640" w:firstLineChars="200"/>
        <w:jc w:val="right"/>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2025年12月18日</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汉仪楷体简"/>
    <w:panose1 w:val="02010609030101010101"/>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2AD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E741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7FE96">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FD7FE96">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E1E2">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67966"/>
    <w:multiLevelType w:val="singleLevel"/>
    <w:tmpl w:val="B8E67966"/>
    <w:lvl w:ilvl="0" w:tentative="0">
      <w:start w:val="8"/>
      <w:numFmt w:val="decimal"/>
      <w:suff w:val="nothing"/>
      <w:lvlText w:val="%1、"/>
      <w:lvlJc w:val="left"/>
    </w:lvl>
  </w:abstractNum>
  <w:abstractNum w:abstractNumId="1">
    <w:nsid w:val="2A21219E"/>
    <w:multiLevelType w:val="singleLevel"/>
    <w:tmpl w:val="2A21219E"/>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E441BF"/>
    <w:rsid w:val="03512CD4"/>
    <w:rsid w:val="04FA4B16"/>
    <w:rsid w:val="0CE441BF"/>
    <w:rsid w:val="0DC12675"/>
    <w:rsid w:val="0EFD35B8"/>
    <w:rsid w:val="188F3762"/>
    <w:rsid w:val="19534E25"/>
    <w:rsid w:val="1B133F19"/>
    <w:rsid w:val="1C4E6FE5"/>
    <w:rsid w:val="210C2B64"/>
    <w:rsid w:val="2224167E"/>
    <w:rsid w:val="24DB5972"/>
    <w:rsid w:val="2857065E"/>
    <w:rsid w:val="29373393"/>
    <w:rsid w:val="29D60DFE"/>
    <w:rsid w:val="2A312B60"/>
    <w:rsid w:val="2B2F79CB"/>
    <w:rsid w:val="2B7A07EC"/>
    <w:rsid w:val="2D22722F"/>
    <w:rsid w:val="2D616153"/>
    <w:rsid w:val="2DDE4994"/>
    <w:rsid w:val="2E6E7857"/>
    <w:rsid w:val="337C5820"/>
    <w:rsid w:val="35D15DD9"/>
    <w:rsid w:val="398D772B"/>
    <w:rsid w:val="3F1C50AD"/>
    <w:rsid w:val="427C42ED"/>
    <w:rsid w:val="49A60395"/>
    <w:rsid w:val="4A9B5A20"/>
    <w:rsid w:val="527F3A7E"/>
    <w:rsid w:val="52F61524"/>
    <w:rsid w:val="56942B3A"/>
    <w:rsid w:val="5CEB19FD"/>
    <w:rsid w:val="6162474A"/>
    <w:rsid w:val="68A8338A"/>
    <w:rsid w:val="754C6F77"/>
    <w:rsid w:val="7B044849"/>
    <w:rsid w:val="7F17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Table Text"/>
    <w:basedOn w:val="1"/>
    <w:semiHidden/>
    <w:qFormat/>
    <w:uiPriority w:val="0"/>
    <w:rPr>
      <w:rFonts w:ascii="Arial" w:hAnsi="Arial" w:eastAsia="Arial" w:cs="Arial"/>
      <w:sz w:val="21"/>
      <w:szCs w:val="21"/>
      <w:lang w:val="en-US" w:eastAsia="en-US" w:bidi="ar-SA"/>
    </w:rPr>
  </w:style>
  <w:style w:type="table" w:customStyle="1" w:styleId="8">
    <w:name w:val="Table Normal"/>
    <w:semiHidden/>
    <w:unhideWhenUsed/>
    <w:qFormat/>
    <w:uiPriority w:val="0"/>
    <w:tblPr>
      <w:tblCellMar>
        <w:top w:w="0" w:type="dxa"/>
        <w:left w:w="0" w:type="dxa"/>
        <w:bottom w:w="0" w:type="dxa"/>
        <w:right w:w="0" w:type="dxa"/>
      </w:tblCellMar>
    </w:tblPr>
  </w:style>
  <w:style w:type="character" w:customStyle="1" w:styleId="9">
    <w:name w:val="font11"/>
    <w:basedOn w:val="6"/>
    <w:qFormat/>
    <w:uiPriority w:val="0"/>
    <w:rPr>
      <w:rFonts w:hint="eastAsia" w:ascii="仿宋" w:hAnsi="仿宋" w:eastAsia="仿宋" w:cs="仿宋"/>
      <w:color w:val="000000"/>
      <w:sz w:val="12"/>
      <w:szCs w:val="12"/>
      <w:u w:val="none"/>
    </w:rPr>
  </w:style>
  <w:style w:type="character" w:customStyle="1" w:styleId="10">
    <w:name w:val="font41"/>
    <w:basedOn w:val="6"/>
    <w:qFormat/>
    <w:uiPriority w:val="0"/>
    <w:rPr>
      <w:rFonts w:ascii="仿宋" w:hAnsi="仿宋" w:eastAsia="仿宋" w:cs="仿宋"/>
      <w:b/>
      <w:bCs/>
      <w:color w:val="000000"/>
      <w:sz w:val="12"/>
      <w:szCs w:val="12"/>
      <w:u w:val="none"/>
    </w:rPr>
  </w:style>
  <w:style w:type="character" w:customStyle="1" w:styleId="11">
    <w:name w:val="font61"/>
    <w:basedOn w:val="6"/>
    <w:qFormat/>
    <w:uiPriority w:val="0"/>
    <w:rPr>
      <w:rFonts w:hint="default" w:ascii="Times New Roman" w:hAnsi="Times New Roman" w:cs="Times New Roman"/>
      <w:color w:val="000000"/>
      <w:sz w:val="12"/>
      <w:szCs w:val="12"/>
      <w:u w:val="none"/>
    </w:rPr>
  </w:style>
  <w:style w:type="character" w:customStyle="1" w:styleId="12">
    <w:name w:val="font31"/>
    <w:basedOn w:val="6"/>
    <w:qFormat/>
    <w:uiPriority w:val="0"/>
    <w:rPr>
      <w:rFonts w:ascii="仿宋" w:hAnsi="仿宋" w:eastAsia="仿宋" w:cs="仿宋"/>
      <w:b/>
      <w:bCs/>
      <w:color w:val="000000"/>
      <w:sz w:val="24"/>
      <w:szCs w:val="24"/>
      <w:u w:val="none"/>
    </w:rPr>
  </w:style>
  <w:style w:type="character" w:customStyle="1" w:styleId="13">
    <w:name w:val="font71"/>
    <w:basedOn w:val="6"/>
    <w:qFormat/>
    <w:uiPriority w:val="0"/>
    <w:rPr>
      <w:rFonts w:ascii="仿宋" w:hAnsi="仿宋" w:eastAsia="仿宋" w:cs="仿宋"/>
      <w:b/>
      <w:bCs/>
      <w:color w:val="000000"/>
      <w:sz w:val="24"/>
      <w:szCs w:val="24"/>
      <w:u w:val="none"/>
    </w:rPr>
  </w:style>
  <w:style w:type="character" w:customStyle="1" w:styleId="14">
    <w:name w:val="font21"/>
    <w:basedOn w:val="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23373</Words>
  <Characters>26194</Characters>
  <Lines>0</Lines>
  <Paragraphs>0</Paragraphs>
  <TotalTime>244</TotalTime>
  <ScaleCrop>false</ScaleCrop>
  <LinksUpToDate>false</LinksUpToDate>
  <CharactersWithSpaces>26261</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2025-12-15T16:20:00Z</dcterms:created>
  <dc:creator>李老师</dc:creator>
  <cp:lastModifiedBy>王强</cp:lastModifiedBy>
  <cp:lastPrinted>2025-12-19T09:24:00Z</cp:lastPrinted>
  <dcterms:modified xsi:type="dcterms:W3CDTF">2026-01-01T12:24:32Z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8260F2E51FBC8D8400F7556930ECE257_43</vt:lpwstr>
  </property>
  <property fmtid="{D5CDD505-2E9C-101B-9397-08002B2CF9AE}" pid="4" name="KSOTemplateDocerSaveRecord">
    <vt:lpwstr>eyJoZGlkIjoiNjM2ODkwMjYxMmZiNTU2MGRiMzA4NTJlMjExZjNjZjYiLCJ1c2VySWQiOiIxNDQ5MjcwMzY2In0=</vt:lpwstr>
  </property>
</Properties>
</file>